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542E3" w14:textId="0350C093" w:rsidR="00D82798" w:rsidRDefault="00D82798" w:rsidP="00001F5A">
      <w:pPr>
        <w:pStyle w:val="Header"/>
        <w:tabs>
          <w:tab w:val="right" w:pos="9630"/>
        </w:tabs>
        <w:rPr>
          <w:bCs/>
          <w:noProof w:val="0"/>
          <w:sz w:val="24"/>
          <w:lang w:val="en-GB"/>
        </w:rPr>
      </w:pPr>
      <w:r>
        <w:rPr>
          <w:bCs/>
          <w:noProof w:val="0"/>
          <w:sz w:val="24"/>
          <w:lang w:val="en-GB"/>
        </w:rPr>
        <w:t>3GPP TSG RAN WG1</w:t>
      </w:r>
      <w:r w:rsidR="00001F5A">
        <w:rPr>
          <w:noProof w:val="0"/>
          <w:sz w:val="24"/>
          <w:lang w:val="en-GB"/>
        </w:rPr>
        <w:t>#90</w:t>
      </w:r>
      <w:r w:rsidR="00001F5A">
        <w:rPr>
          <w:bCs/>
          <w:noProof w:val="0"/>
          <w:sz w:val="24"/>
          <w:lang w:val="en-GB"/>
        </w:rPr>
        <w:tab/>
      </w:r>
      <w:r w:rsidR="00FF2D5B" w:rsidRPr="00B70EBB">
        <w:rPr>
          <w:bCs/>
          <w:noProof w:val="0"/>
          <w:sz w:val="24"/>
          <w:lang w:val="en-GB"/>
        </w:rPr>
        <w:t>R1-</w:t>
      </w:r>
      <w:r w:rsidR="00FF2D5B" w:rsidRPr="00AE4297">
        <w:rPr>
          <w:bCs/>
          <w:noProof w:val="0"/>
          <w:sz w:val="24"/>
          <w:lang w:val="en-GB"/>
        </w:rPr>
        <w:t>17</w:t>
      </w:r>
      <w:r w:rsidR="00A16952" w:rsidRPr="00AE4297">
        <w:rPr>
          <w:bCs/>
          <w:noProof w:val="0"/>
          <w:sz w:val="24"/>
          <w:lang w:val="en-GB"/>
        </w:rPr>
        <w:t>1</w:t>
      </w:r>
      <w:r w:rsidR="00CE13B2" w:rsidRPr="00B70EBB">
        <w:rPr>
          <w:bCs/>
          <w:noProof w:val="0"/>
          <w:sz w:val="24"/>
          <w:lang w:val="en-GB"/>
        </w:rPr>
        <w:t>4014</w:t>
      </w:r>
    </w:p>
    <w:p w14:paraId="67DB2173" w14:textId="6636B840" w:rsidR="00A91C7F" w:rsidRPr="00461210" w:rsidRDefault="00001F5A" w:rsidP="00A91C7F">
      <w:pPr>
        <w:pStyle w:val="Header"/>
        <w:tabs>
          <w:tab w:val="right" w:pos="9639"/>
        </w:tabs>
        <w:rPr>
          <w:bCs/>
          <w:noProof w:val="0"/>
          <w:sz w:val="24"/>
          <w:lang w:val="en-GB"/>
        </w:rPr>
      </w:pPr>
      <w:r>
        <w:rPr>
          <w:noProof w:val="0"/>
          <w:sz w:val="24"/>
          <w:lang w:val="en-GB"/>
        </w:rPr>
        <w:t>Prague, Czech Republic, 21</w:t>
      </w:r>
      <w:r>
        <w:rPr>
          <w:noProof w:val="0"/>
          <w:sz w:val="24"/>
          <w:vertAlign w:val="superscript"/>
          <w:lang w:val="en-GB"/>
        </w:rPr>
        <w:t>st</w:t>
      </w:r>
      <w:r w:rsidRPr="007A33FC">
        <w:rPr>
          <w:noProof w:val="0"/>
          <w:sz w:val="24"/>
          <w:lang w:val="en-GB"/>
        </w:rPr>
        <w:t>-</w:t>
      </w:r>
      <w:r>
        <w:rPr>
          <w:noProof w:val="0"/>
          <w:sz w:val="24"/>
          <w:lang w:val="en-GB"/>
        </w:rPr>
        <w:t>25</w:t>
      </w:r>
      <w:r w:rsidRPr="007A33FC">
        <w:rPr>
          <w:noProof w:val="0"/>
          <w:sz w:val="24"/>
          <w:vertAlign w:val="superscript"/>
          <w:lang w:val="en-GB"/>
        </w:rPr>
        <w:t>th</w:t>
      </w:r>
      <w:r w:rsidRPr="007A33FC">
        <w:rPr>
          <w:noProof w:val="0"/>
          <w:sz w:val="24"/>
          <w:lang w:val="en-GB"/>
        </w:rPr>
        <w:t xml:space="preserve"> </w:t>
      </w:r>
      <w:r>
        <w:rPr>
          <w:noProof w:val="0"/>
          <w:sz w:val="24"/>
          <w:lang w:val="en-GB"/>
        </w:rPr>
        <w:t>August</w:t>
      </w:r>
      <w:r w:rsidRPr="007A33FC">
        <w:rPr>
          <w:bCs/>
          <w:sz w:val="24"/>
        </w:rPr>
        <w:t xml:space="preserve"> 2017</w:t>
      </w:r>
    </w:p>
    <w:p w14:paraId="30E02940" w14:textId="77777777" w:rsidR="00CA26CE" w:rsidRPr="0016316A" w:rsidRDefault="00CA26CE" w:rsidP="00CA26CE">
      <w:pPr>
        <w:pStyle w:val="Header"/>
        <w:rPr>
          <w:bCs/>
          <w:noProof w:val="0"/>
          <w:sz w:val="24"/>
          <w:lang w:val="en-GB" w:eastAsia="ja-JP"/>
        </w:rPr>
      </w:pPr>
    </w:p>
    <w:p w14:paraId="30E02941" w14:textId="526F0040"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001F5A">
        <w:rPr>
          <w:rFonts w:cs="Arial"/>
          <w:b/>
          <w:bCs/>
          <w:sz w:val="24"/>
        </w:rPr>
        <w:t>6</w:t>
      </w:r>
      <w:r w:rsidR="006025A8" w:rsidRPr="006025A8">
        <w:rPr>
          <w:rFonts w:cs="Arial"/>
          <w:b/>
          <w:bCs/>
          <w:sz w:val="24"/>
        </w:rPr>
        <w:t>.1.3.3.4.3</w:t>
      </w:r>
    </w:p>
    <w:p w14:paraId="30E02942" w14:textId="2CB8CF22"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001F5A">
        <w:rPr>
          <w:rFonts w:ascii="Arial" w:hAnsi="Arial" w:cs="Arial"/>
          <w:b/>
          <w:bCs/>
          <w:sz w:val="24"/>
        </w:rPr>
        <w:t>Nokia</w:t>
      </w:r>
      <w:r w:rsidR="00013455" w:rsidRPr="00013455">
        <w:rPr>
          <w:rFonts w:ascii="Arial" w:hAnsi="Arial" w:cs="Arial"/>
          <w:b/>
          <w:bCs/>
          <w:sz w:val="24"/>
        </w:rPr>
        <w:t xml:space="preserve"> Shanghai Bell</w:t>
      </w:r>
    </w:p>
    <w:p w14:paraId="30E02943" w14:textId="139C8533"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6025A8">
        <w:rPr>
          <w:rFonts w:ascii="Arial" w:hAnsi="Arial" w:cs="Arial"/>
          <w:b/>
          <w:bCs/>
          <w:sz w:val="24"/>
        </w:rPr>
        <w:t>HARQ-ACK feedback for</w:t>
      </w:r>
      <w:r w:rsidR="00FF2D5B">
        <w:rPr>
          <w:rFonts w:ascii="Arial" w:hAnsi="Arial" w:cs="Arial"/>
          <w:b/>
          <w:bCs/>
          <w:sz w:val="24"/>
        </w:rPr>
        <w:t xml:space="preserve"> </w:t>
      </w:r>
      <w:r w:rsidR="009D1C90">
        <w:rPr>
          <w:rFonts w:ascii="Arial" w:hAnsi="Arial" w:cs="Arial"/>
          <w:b/>
          <w:bCs/>
          <w:sz w:val="24"/>
        </w:rPr>
        <w:t>CBG-based (re-)</w:t>
      </w:r>
      <w:r w:rsidR="00DD7602">
        <w:rPr>
          <w:rFonts w:ascii="Arial" w:hAnsi="Arial" w:cs="Arial"/>
          <w:b/>
          <w:bCs/>
          <w:sz w:val="24"/>
        </w:rPr>
        <w:t>transmission</w:t>
      </w:r>
      <w:r w:rsidR="00C11ADE">
        <w:rPr>
          <w:rFonts w:ascii="Arial" w:hAnsi="Arial" w:cs="Arial"/>
          <w:b/>
          <w:bCs/>
          <w:sz w:val="24"/>
        </w:rPr>
        <w:t xml:space="preserve"> </w:t>
      </w:r>
      <w:r w:rsidR="008359EB">
        <w:rPr>
          <w:rFonts w:ascii="Arial" w:hAnsi="Arial" w:cs="Arial"/>
          <w:b/>
          <w:bCs/>
          <w:sz w:val="24"/>
        </w:rPr>
        <w:t>in NR</w:t>
      </w:r>
      <w:r w:rsidR="00AA5DF4">
        <w:rPr>
          <w:rFonts w:ascii="Arial" w:hAnsi="Arial" w:cs="Arial"/>
          <w:b/>
          <w:bCs/>
          <w:sz w:val="24"/>
        </w:rPr>
        <w:t xml:space="preserve"> </w:t>
      </w:r>
    </w:p>
    <w:p w14:paraId="30E02944"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30E02945" w14:textId="77777777" w:rsidR="0034111C" w:rsidRPr="0016316A" w:rsidRDefault="0034111C">
      <w:pPr>
        <w:pStyle w:val="Heading1"/>
      </w:pPr>
      <w:r w:rsidRPr="0016316A">
        <w:t>1</w:t>
      </w:r>
      <w:r w:rsidRPr="0016316A">
        <w:tab/>
      </w:r>
      <w:r w:rsidR="00EE7FA7" w:rsidRPr="0016316A">
        <w:t>Introduction</w:t>
      </w:r>
    </w:p>
    <w:p w14:paraId="30E0296D" w14:textId="51AB2868" w:rsidR="0078539D" w:rsidRDefault="009D1C90" w:rsidP="00986146">
      <w:pPr>
        <w:spacing w:after="120"/>
        <w:jc w:val="both"/>
      </w:pPr>
      <w:r>
        <w:t>In RAN1#88bis</w:t>
      </w:r>
      <w:r w:rsidR="00694D7C">
        <w:t xml:space="preserve"> and RAN1#89</w:t>
      </w:r>
      <w:r>
        <w:t>, the following has been agreed regarding CBG-based (re-)transmissions with single/multi-bit HARQ-ACK feedback.</w:t>
      </w:r>
    </w:p>
    <w:p w14:paraId="4F518893" w14:textId="77777777" w:rsidR="009D1C90" w:rsidRPr="009D1C90" w:rsidRDefault="009D1C90" w:rsidP="009D1C90">
      <w:pPr>
        <w:ind w:left="284"/>
        <w:rPr>
          <w:rFonts w:eastAsia="MS Mincho"/>
          <w:b/>
          <w:i/>
          <w:iCs/>
          <w:sz w:val="18"/>
          <w:u w:val="single"/>
          <w:lang w:val="en-US" w:eastAsia="ja-JP"/>
        </w:rPr>
      </w:pPr>
      <w:r w:rsidRPr="009D1C90">
        <w:rPr>
          <w:rFonts w:eastAsia="MS Mincho" w:hint="eastAsia"/>
          <w:b/>
          <w:i/>
          <w:iCs/>
          <w:sz w:val="18"/>
          <w:highlight w:val="green"/>
          <w:u w:val="single"/>
          <w:lang w:val="en-US" w:eastAsia="ja-JP"/>
        </w:rPr>
        <w:t>Agreements:</w:t>
      </w:r>
    </w:p>
    <w:p w14:paraId="05F161AC" w14:textId="77777777" w:rsidR="009D1C90" w:rsidRPr="009D1C90" w:rsidRDefault="009D1C90" w:rsidP="009D1C90">
      <w:pPr>
        <w:numPr>
          <w:ilvl w:val="0"/>
          <w:numId w:val="21"/>
        </w:numPr>
        <w:tabs>
          <w:tab w:val="clear" w:pos="720"/>
          <w:tab w:val="num" w:pos="1004"/>
        </w:tabs>
        <w:overflowPunct/>
        <w:autoSpaceDE/>
        <w:autoSpaceDN/>
        <w:adjustRightInd/>
        <w:spacing w:after="0"/>
        <w:ind w:left="1004"/>
        <w:textAlignment w:val="auto"/>
        <w:rPr>
          <w:rFonts w:eastAsia="MS Mincho"/>
          <w:i/>
          <w:iCs/>
          <w:sz w:val="18"/>
          <w:lang w:val="en-US" w:eastAsia="ja-JP"/>
        </w:rPr>
      </w:pPr>
      <w:r w:rsidRPr="009D1C90">
        <w:rPr>
          <w:rFonts w:eastAsia="MS Mincho"/>
          <w:i/>
          <w:iCs/>
          <w:sz w:val="18"/>
          <w:lang w:val="en-US" w:eastAsia="ja-JP"/>
        </w:rPr>
        <w:t>Confirm the working assumption as below.</w:t>
      </w:r>
    </w:p>
    <w:p w14:paraId="183CB70A" w14:textId="77777777" w:rsidR="009D1C90" w:rsidRPr="009D1C90" w:rsidRDefault="009D1C90" w:rsidP="009D1C90">
      <w:pPr>
        <w:numPr>
          <w:ilvl w:val="1"/>
          <w:numId w:val="21"/>
        </w:numPr>
        <w:tabs>
          <w:tab w:val="clear" w:pos="1440"/>
          <w:tab w:val="num" w:pos="1724"/>
        </w:tabs>
        <w:overflowPunct/>
        <w:autoSpaceDE/>
        <w:autoSpaceDN/>
        <w:adjustRightInd/>
        <w:spacing w:after="0"/>
        <w:ind w:left="1724"/>
        <w:textAlignment w:val="auto"/>
        <w:rPr>
          <w:rFonts w:eastAsia="MS Mincho"/>
          <w:i/>
          <w:iCs/>
          <w:sz w:val="18"/>
          <w:lang w:val="en-US" w:eastAsia="ja-JP"/>
        </w:rPr>
      </w:pPr>
      <w:r w:rsidRPr="009D1C90">
        <w:rPr>
          <w:rFonts w:eastAsia="MS Mincho"/>
          <w:i/>
          <w:iCs/>
          <w:sz w:val="18"/>
          <w:lang w:val="en-US" w:eastAsia="ja-JP"/>
        </w:rPr>
        <w:t>CBG-based transmission with single/multi-bit HARQ-ACK feedback is supported in Rel-15, which shall have the following characteristics:</w:t>
      </w:r>
    </w:p>
    <w:p w14:paraId="6C46ACE8" w14:textId="77777777" w:rsidR="009D1C90" w:rsidRPr="009D1C90" w:rsidRDefault="009D1C90" w:rsidP="009D1C90">
      <w:pPr>
        <w:numPr>
          <w:ilvl w:val="2"/>
          <w:numId w:val="21"/>
        </w:numPr>
        <w:tabs>
          <w:tab w:val="clear" w:pos="2160"/>
          <w:tab w:val="num" w:pos="2444"/>
        </w:tabs>
        <w:overflowPunct/>
        <w:autoSpaceDE/>
        <w:autoSpaceDN/>
        <w:adjustRightInd/>
        <w:spacing w:after="0"/>
        <w:ind w:left="2444"/>
        <w:textAlignment w:val="auto"/>
        <w:rPr>
          <w:rFonts w:eastAsia="MS Mincho"/>
          <w:i/>
          <w:iCs/>
          <w:sz w:val="18"/>
          <w:lang w:val="en-US" w:eastAsia="ja-JP"/>
        </w:rPr>
      </w:pPr>
      <w:r w:rsidRPr="009D1C90">
        <w:rPr>
          <w:rFonts w:eastAsia="MS Mincho"/>
          <w:i/>
          <w:iCs/>
          <w:sz w:val="18"/>
          <w:lang w:val="en-US" w:eastAsia="ja-JP"/>
        </w:rPr>
        <w:t>Only allow CBG based (re)-transmission for the same TB of a HARQ process</w:t>
      </w:r>
    </w:p>
    <w:p w14:paraId="6E643BE9" w14:textId="77777777" w:rsidR="009D1C90" w:rsidRPr="009D1C90" w:rsidRDefault="009D1C90" w:rsidP="009D1C90">
      <w:pPr>
        <w:numPr>
          <w:ilvl w:val="2"/>
          <w:numId w:val="21"/>
        </w:numPr>
        <w:tabs>
          <w:tab w:val="clear" w:pos="2160"/>
          <w:tab w:val="num" w:pos="2444"/>
        </w:tabs>
        <w:overflowPunct/>
        <w:autoSpaceDE/>
        <w:autoSpaceDN/>
        <w:adjustRightInd/>
        <w:spacing w:after="0"/>
        <w:ind w:left="2444"/>
        <w:textAlignment w:val="auto"/>
        <w:rPr>
          <w:rFonts w:eastAsia="MS Mincho"/>
          <w:i/>
          <w:iCs/>
          <w:sz w:val="18"/>
          <w:lang w:val="en-US" w:eastAsia="ja-JP"/>
        </w:rPr>
      </w:pPr>
      <w:r w:rsidRPr="009D1C90">
        <w:rPr>
          <w:rFonts w:eastAsia="MS Mincho"/>
          <w:i/>
          <w:iCs/>
          <w:sz w:val="18"/>
          <w:lang w:val="en-US" w:eastAsia="ja-JP"/>
        </w:rPr>
        <w:t>CBG can include all CB of a TB regardless of the size of the TB – In the such case, UE reports single HARQ ACK bits for the TB</w:t>
      </w:r>
    </w:p>
    <w:p w14:paraId="165B4EC3" w14:textId="77777777" w:rsidR="009D1C90" w:rsidRPr="009D1C90" w:rsidRDefault="009D1C90" w:rsidP="009D1C90">
      <w:pPr>
        <w:numPr>
          <w:ilvl w:val="2"/>
          <w:numId w:val="21"/>
        </w:numPr>
        <w:tabs>
          <w:tab w:val="clear" w:pos="2160"/>
          <w:tab w:val="num" w:pos="2444"/>
        </w:tabs>
        <w:overflowPunct/>
        <w:autoSpaceDE/>
        <w:autoSpaceDN/>
        <w:adjustRightInd/>
        <w:spacing w:after="0"/>
        <w:ind w:left="2444"/>
        <w:textAlignment w:val="auto"/>
        <w:rPr>
          <w:rFonts w:eastAsia="MS Mincho"/>
          <w:i/>
          <w:iCs/>
          <w:sz w:val="18"/>
          <w:lang w:val="en-US" w:eastAsia="ja-JP"/>
        </w:rPr>
      </w:pPr>
      <w:r w:rsidRPr="009D1C90">
        <w:rPr>
          <w:rFonts w:eastAsia="MS Mincho"/>
          <w:i/>
          <w:iCs/>
          <w:sz w:val="18"/>
          <w:lang w:val="en-US" w:eastAsia="ja-JP"/>
        </w:rPr>
        <w:t>CBG can include one CB</w:t>
      </w:r>
    </w:p>
    <w:p w14:paraId="47E93EB8" w14:textId="77777777" w:rsidR="009D1C90" w:rsidRPr="009D1C90" w:rsidRDefault="009D1C90" w:rsidP="009D1C90">
      <w:pPr>
        <w:numPr>
          <w:ilvl w:val="2"/>
          <w:numId w:val="21"/>
        </w:numPr>
        <w:tabs>
          <w:tab w:val="clear" w:pos="2160"/>
          <w:tab w:val="num" w:pos="2444"/>
        </w:tabs>
        <w:overflowPunct/>
        <w:autoSpaceDE/>
        <w:autoSpaceDN/>
        <w:adjustRightInd/>
        <w:spacing w:after="0"/>
        <w:ind w:left="2444"/>
        <w:textAlignment w:val="auto"/>
        <w:rPr>
          <w:rFonts w:eastAsia="MS Mincho"/>
          <w:i/>
          <w:iCs/>
          <w:sz w:val="18"/>
          <w:lang w:val="en-US" w:eastAsia="ja-JP"/>
        </w:rPr>
      </w:pPr>
      <w:r w:rsidRPr="009D1C90">
        <w:rPr>
          <w:rFonts w:eastAsia="MS Mincho"/>
          <w:i/>
          <w:iCs/>
          <w:sz w:val="18"/>
          <w:lang w:val="en-US" w:eastAsia="ja-JP"/>
        </w:rPr>
        <w:t>CBG granularity is configurable</w:t>
      </w:r>
    </w:p>
    <w:p w14:paraId="5A17F54E" w14:textId="77777777" w:rsidR="009D1C90" w:rsidRPr="009D1C90" w:rsidRDefault="009D1C90" w:rsidP="009D1C90">
      <w:pPr>
        <w:ind w:left="284"/>
        <w:rPr>
          <w:rFonts w:eastAsia="MS Mincho"/>
          <w:b/>
          <w:i/>
          <w:iCs/>
          <w:sz w:val="18"/>
          <w:u w:val="single"/>
          <w:lang w:val="en-US" w:eastAsia="ja-JP"/>
        </w:rPr>
      </w:pPr>
      <w:r w:rsidRPr="009D1C90">
        <w:rPr>
          <w:rFonts w:eastAsia="MS Mincho" w:hint="eastAsia"/>
          <w:b/>
          <w:i/>
          <w:iCs/>
          <w:sz w:val="18"/>
          <w:highlight w:val="green"/>
          <w:u w:val="single"/>
          <w:lang w:val="en-US" w:eastAsia="ja-JP"/>
        </w:rPr>
        <w:t>Agreements:</w:t>
      </w:r>
    </w:p>
    <w:p w14:paraId="642A90B8" w14:textId="77777777" w:rsidR="009D1C90" w:rsidRPr="009D1C90" w:rsidRDefault="009D1C90" w:rsidP="009D1C90">
      <w:pPr>
        <w:numPr>
          <w:ilvl w:val="0"/>
          <w:numId w:val="22"/>
        </w:numPr>
        <w:tabs>
          <w:tab w:val="clear" w:pos="720"/>
          <w:tab w:val="num" w:pos="1004"/>
        </w:tabs>
        <w:overflowPunct/>
        <w:autoSpaceDE/>
        <w:autoSpaceDN/>
        <w:adjustRightInd/>
        <w:spacing w:after="0"/>
        <w:ind w:left="1004"/>
        <w:textAlignment w:val="auto"/>
        <w:rPr>
          <w:rFonts w:eastAsia="MS Mincho"/>
          <w:i/>
          <w:iCs/>
          <w:sz w:val="18"/>
          <w:lang w:val="en-US" w:eastAsia="ja-JP"/>
        </w:rPr>
      </w:pPr>
      <w:r w:rsidRPr="009D1C90">
        <w:rPr>
          <w:rFonts w:eastAsia="MS Mincho"/>
          <w:i/>
          <w:iCs/>
          <w:sz w:val="18"/>
          <w:lang w:val="en-US" w:eastAsia="ja-JP"/>
        </w:rPr>
        <w:t>The UE is semi-statically configured by RRC signaling to enable CBG-based retransmission.</w:t>
      </w:r>
    </w:p>
    <w:p w14:paraId="4FFEC573" w14:textId="77777777" w:rsidR="009D1C90" w:rsidRPr="009D1C90" w:rsidRDefault="009D1C90" w:rsidP="009D1C90">
      <w:pPr>
        <w:numPr>
          <w:ilvl w:val="0"/>
          <w:numId w:val="22"/>
        </w:numPr>
        <w:tabs>
          <w:tab w:val="clear" w:pos="720"/>
          <w:tab w:val="num" w:pos="1004"/>
        </w:tabs>
        <w:overflowPunct/>
        <w:autoSpaceDE/>
        <w:autoSpaceDN/>
        <w:adjustRightInd/>
        <w:spacing w:after="0"/>
        <w:ind w:left="1004"/>
        <w:textAlignment w:val="auto"/>
        <w:rPr>
          <w:rFonts w:eastAsia="MS Mincho"/>
          <w:i/>
          <w:iCs/>
          <w:sz w:val="18"/>
          <w:lang w:val="en-US" w:eastAsia="ja-JP"/>
        </w:rPr>
      </w:pPr>
      <w:r w:rsidRPr="009D1C90">
        <w:rPr>
          <w:rFonts w:eastAsia="MS Mincho"/>
          <w:i/>
          <w:iCs/>
          <w:sz w:val="18"/>
          <w:lang w:val="en-US" w:eastAsia="ja-JP"/>
        </w:rPr>
        <w:t xml:space="preserve">The above </w:t>
      </w:r>
      <w:r w:rsidRPr="009D1C90">
        <w:rPr>
          <w:rFonts w:eastAsia="MS Mincho" w:hint="eastAsia"/>
          <w:i/>
          <w:iCs/>
          <w:sz w:val="18"/>
          <w:lang w:val="en-US" w:eastAsia="ja-JP"/>
        </w:rPr>
        <w:t xml:space="preserve">semi-static </w:t>
      </w:r>
      <w:r w:rsidRPr="009D1C90">
        <w:rPr>
          <w:rFonts w:eastAsia="MS Mincho"/>
          <w:i/>
          <w:iCs/>
          <w:sz w:val="18"/>
          <w:lang w:val="en-US" w:eastAsia="ja-JP"/>
        </w:rPr>
        <w:t>configuration to enable CBG-based retransmission is separate for DL and UL.</w:t>
      </w:r>
    </w:p>
    <w:p w14:paraId="6146E0E1" w14:textId="77777777" w:rsidR="00B807ED" w:rsidRPr="00B807ED" w:rsidRDefault="00B807ED" w:rsidP="00694D7C">
      <w:pPr>
        <w:overflowPunct/>
        <w:autoSpaceDE/>
        <w:autoSpaceDN/>
        <w:adjustRightInd/>
        <w:spacing w:after="0"/>
        <w:ind w:left="284"/>
        <w:textAlignment w:val="auto"/>
        <w:rPr>
          <w:rFonts w:ascii="Times" w:eastAsia="MS Mincho" w:hAnsi="Times"/>
          <w:b/>
          <w:i/>
          <w:sz w:val="18"/>
          <w:szCs w:val="24"/>
          <w:u w:val="single"/>
          <w:lang w:eastAsia="ja-JP"/>
        </w:rPr>
      </w:pPr>
      <w:r w:rsidRPr="00B807ED">
        <w:rPr>
          <w:rFonts w:ascii="Times" w:eastAsia="MS Mincho" w:hAnsi="Times" w:hint="eastAsia"/>
          <w:b/>
          <w:i/>
          <w:sz w:val="18"/>
          <w:szCs w:val="24"/>
          <w:highlight w:val="green"/>
          <w:u w:val="single"/>
          <w:lang w:eastAsia="ja-JP"/>
        </w:rPr>
        <w:t>Agreements:</w:t>
      </w:r>
    </w:p>
    <w:p w14:paraId="772DF0C0" w14:textId="77777777" w:rsidR="00B807ED" w:rsidRPr="00B807ED" w:rsidRDefault="00B807ED" w:rsidP="00694D7C">
      <w:pPr>
        <w:numPr>
          <w:ilvl w:val="0"/>
          <w:numId w:val="26"/>
        </w:numPr>
        <w:tabs>
          <w:tab w:val="clear" w:pos="720"/>
          <w:tab w:val="num" w:pos="1004"/>
        </w:tabs>
        <w:overflowPunct/>
        <w:autoSpaceDE/>
        <w:autoSpaceDN/>
        <w:adjustRightInd/>
        <w:spacing w:after="0"/>
        <w:ind w:left="1004"/>
        <w:textAlignment w:val="auto"/>
        <w:rPr>
          <w:rFonts w:ascii="Times" w:eastAsia="MS Mincho" w:hAnsi="Times"/>
          <w:i/>
          <w:sz w:val="18"/>
          <w:szCs w:val="24"/>
          <w:lang w:val="en-US" w:eastAsia="ja-JP"/>
        </w:rPr>
      </w:pPr>
      <w:r w:rsidRPr="00B807ED">
        <w:rPr>
          <w:rFonts w:ascii="Times" w:eastAsia="MS Mincho" w:hAnsi="Times"/>
          <w:i/>
          <w:sz w:val="18"/>
          <w:szCs w:val="24"/>
          <w:lang w:eastAsia="ja-JP"/>
        </w:rPr>
        <w:t xml:space="preserve">For downlink data </w:t>
      </w:r>
      <w:r w:rsidRPr="00B807ED">
        <w:rPr>
          <w:rFonts w:ascii="Times" w:eastAsia="MS Mincho" w:hAnsi="Times" w:hint="eastAsia"/>
          <w:i/>
          <w:sz w:val="18"/>
          <w:szCs w:val="24"/>
          <w:lang w:eastAsia="ja-JP"/>
        </w:rPr>
        <w:t xml:space="preserve">transmission </w:t>
      </w:r>
      <w:r w:rsidRPr="00B807ED">
        <w:rPr>
          <w:rFonts w:ascii="Times" w:eastAsia="MS Mincho" w:hAnsi="Times"/>
          <w:i/>
          <w:sz w:val="18"/>
          <w:szCs w:val="24"/>
          <w:lang w:eastAsia="ja-JP"/>
        </w:rPr>
        <w:t>with CBG based (re)transmission,</w:t>
      </w:r>
    </w:p>
    <w:p w14:paraId="3879EDDC" w14:textId="77777777" w:rsidR="00B807ED" w:rsidRPr="00B807ED" w:rsidRDefault="00B807ED" w:rsidP="00694D7C">
      <w:pPr>
        <w:numPr>
          <w:ilvl w:val="1"/>
          <w:numId w:val="26"/>
        </w:numPr>
        <w:tabs>
          <w:tab w:val="clear" w:pos="1440"/>
          <w:tab w:val="num" w:pos="1724"/>
        </w:tabs>
        <w:overflowPunct/>
        <w:autoSpaceDE/>
        <w:autoSpaceDN/>
        <w:adjustRightInd/>
        <w:spacing w:after="0"/>
        <w:ind w:left="1724"/>
        <w:textAlignment w:val="auto"/>
        <w:rPr>
          <w:rFonts w:ascii="Times" w:eastAsia="MS Mincho" w:hAnsi="Times"/>
          <w:i/>
          <w:sz w:val="18"/>
          <w:szCs w:val="24"/>
          <w:lang w:val="en-US" w:eastAsia="ja-JP"/>
        </w:rPr>
      </w:pPr>
      <w:r w:rsidRPr="00B807ED">
        <w:rPr>
          <w:rFonts w:ascii="Times" w:eastAsia="MS Mincho" w:hAnsi="Times"/>
          <w:i/>
          <w:sz w:val="18"/>
          <w:szCs w:val="24"/>
          <w:lang w:eastAsia="ja-JP"/>
        </w:rPr>
        <w:t>The number of CBG HARQ ACK bits for a TB is at least equal to the number of CBGs indicated or implied for transmission</w:t>
      </w:r>
    </w:p>
    <w:p w14:paraId="38A6F15B" w14:textId="77777777" w:rsidR="00B807ED" w:rsidRPr="00B807ED" w:rsidRDefault="00B807ED" w:rsidP="00694D7C">
      <w:pPr>
        <w:numPr>
          <w:ilvl w:val="2"/>
          <w:numId w:val="26"/>
        </w:numPr>
        <w:tabs>
          <w:tab w:val="clear" w:pos="2160"/>
          <w:tab w:val="num" w:pos="2444"/>
        </w:tabs>
        <w:overflowPunct/>
        <w:autoSpaceDE/>
        <w:autoSpaceDN/>
        <w:adjustRightInd/>
        <w:spacing w:after="0"/>
        <w:ind w:left="2444"/>
        <w:textAlignment w:val="auto"/>
        <w:rPr>
          <w:rFonts w:ascii="Times" w:eastAsia="MS Mincho" w:hAnsi="Times"/>
          <w:i/>
          <w:sz w:val="18"/>
          <w:szCs w:val="24"/>
          <w:lang w:val="en-US" w:eastAsia="ja-JP"/>
        </w:rPr>
      </w:pPr>
      <w:r w:rsidRPr="00B807ED">
        <w:rPr>
          <w:rFonts w:ascii="Times" w:eastAsia="MS Mincho" w:hAnsi="Times"/>
          <w:i/>
          <w:sz w:val="18"/>
          <w:szCs w:val="24"/>
          <w:lang w:eastAsia="ja-JP"/>
        </w:rPr>
        <w:t>FFS whether or not the UE transmits HARQ ACK bits for CBGs not indicated or implied for transmission</w:t>
      </w:r>
    </w:p>
    <w:p w14:paraId="77860121" w14:textId="77777777" w:rsidR="00B807ED" w:rsidRPr="00B807ED" w:rsidRDefault="00B807ED" w:rsidP="00694D7C">
      <w:pPr>
        <w:numPr>
          <w:ilvl w:val="2"/>
          <w:numId w:val="26"/>
        </w:numPr>
        <w:tabs>
          <w:tab w:val="clear" w:pos="2160"/>
          <w:tab w:val="num" w:pos="2444"/>
        </w:tabs>
        <w:overflowPunct/>
        <w:autoSpaceDE/>
        <w:autoSpaceDN/>
        <w:adjustRightInd/>
        <w:spacing w:after="0"/>
        <w:ind w:left="2444"/>
        <w:textAlignment w:val="auto"/>
        <w:rPr>
          <w:rFonts w:ascii="Times" w:eastAsia="MS Mincho" w:hAnsi="Times"/>
          <w:i/>
          <w:sz w:val="18"/>
          <w:szCs w:val="24"/>
          <w:lang w:val="en-US" w:eastAsia="ja-JP"/>
        </w:rPr>
      </w:pPr>
      <w:r w:rsidRPr="00B807ED">
        <w:rPr>
          <w:rFonts w:ascii="Times" w:eastAsia="MS Mincho" w:hAnsi="Times"/>
          <w:i/>
          <w:sz w:val="18"/>
          <w:szCs w:val="24"/>
          <w:lang w:eastAsia="ja-JP"/>
        </w:rPr>
        <w:t>FFS “indicated or implied” is realized by RRC, MAC, L1 signalling, or implicitly derived</w:t>
      </w:r>
    </w:p>
    <w:p w14:paraId="6AE63D5B" w14:textId="77777777" w:rsidR="00B807ED" w:rsidRPr="00B807ED" w:rsidRDefault="00B807ED" w:rsidP="00694D7C">
      <w:pPr>
        <w:numPr>
          <w:ilvl w:val="2"/>
          <w:numId w:val="26"/>
        </w:numPr>
        <w:tabs>
          <w:tab w:val="clear" w:pos="2160"/>
          <w:tab w:val="num" w:pos="2444"/>
        </w:tabs>
        <w:overflowPunct/>
        <w:autoSpaceDE/>
        <w:autoSpaceDN/>
        <w:adjustRightInd/>
        <w:spacing w:after="0"/>
        <w:ind w:left="2444"/>
        <w:textAlignment w:val="auto"/>
        <w:rPr>
          <w:rFonts w:ascii="Times" w:eastAsia="MS Mincho" w:hAnsi="Times"/>
          <w:i/>
          <w:sz w:val="18"/>
          <w:szCs w:val="24"/>
          <w:lang w:val="en-US" w:eastAsia="ja-JP"/>
        </w:rPr>
      </w:pPr>
      <w:r w:rsidRPr="00B807ED">
        <w:rPr>
          <w:rFonts w:ascii="Times" w:eastAsia="MS Mincho" w:hAnsi="Times"/>
          <w:i/>
          <w:sz w:val="18"/>
          <w:szCs w:val="24"/>
          <w:lang w:eastAsia="ja-JP"/>
        </w:rPr>
        <w:t>FFS HARQ ACK feedback on one channel for the case of multiple TBs</w:t>
      </w:r>
    </w:p>
    <w:p w14:paraId="1DCCBB54" w14:textId="77777777" w:rsidR="00B807ED" w:rsidRPr="00B807ED" w:rsidRDefault="00B807ED" w:rsidP="00694D7C">
      <w:pPr>
        <w:numPr>
          <w:ilvl w:val="2"/>
          <w:numId w:val="26"/>
        </w:numPr>
        <w:tabs>
          <w:tab w:val="clear" w:pos="2160"/>
          <w:tab w:val="num" w:pos="2444"/>
        </w:tabs>
        <w:overflowPunct/>
        <w:autoSpaceDE/>
        <w:autoSpaceDN/>
        <w:adjustRightInd/>
        <w:spacing w:after="0"/>
        <w:ind w:left="2444"/>
        <w:textAlignment w:val="auto"/>
        <w:rPr>
          <w:rFonts w:ascii="Times" w:eastAsia="MS Mincho" w:hAnsi="Times"/>
          <w:i/>
          <w:sz w:val="18"/>
          <w:szCs w:val="24"/>
          <w:lang w:val="en-US" w:eastAsia="ja-JP"/>
        </w:rPr>
      </w:pPr>
      <w:r w:rsidRPr="00B807ED">
        <w:rPr>
          <w:rFonts w:ascii="Times" w:eastAsia="MS Mincho" w:hAnsi="Times"/>
          <w:i/>
          <w:sz w:val="18"/>
          <w:szCs w:val="24"/>
          <w:lang w:eastAsia="ja-JP"/>
        </w:rPr>
        <w:t xml:space="preserve">FFS for fallback </w:t>
      </w:r>
    </w:p>
    <w:p w14:paraId="12C35000" w14:textId="77777777" w:rsidR="00B807ED" w:rsidRPr="00B807ED" w:rsidRDefault="00B807ED" w:rsidP="00694D7C">
      <w:pPr>
        <w:overflowPunct/>
        <w:autoSpaceDE/>
        <w:autoSpaceDN/>
        <w:adjustRightInd/>
        <w:spacing w:after="0"/>
        <w:ind w:left="284"/>
        <w:textAlignment w:val="auto"/>
        <w:rPr>
          <w:rFonts w:ascii="Times" w:eastAsia="MS Mincho" w:hAnsi="Times"/>
          <w:b/>
          <w:i/>
          <w:sz w:val="18"/>
          <w:szCs w:val="24"/>
          <w:u w:val="single"/>
          <w:lang w:val="en-US" w:eastAsia="ja-JP"/>
        </w:rPr>
      </w:pPr>
      <w:r w:rsidRPr="00B807ED">
        <w:rPr>
          <w:rFonts w:ascii="Times" w:eastAsia="MS Mincho" w:hAnsi="Times" w:hint="eastAsia"/>
          <w:b/>
          <w:i/>
          <w:sz w:val="18"/>
          <w:szCs w:val="24"/>
          <w:highlight w:val="green"/>
          <w:u w:val="single"/>
          <w:lang w:val="en-US" w:eastAsia="ja-JP"/>
        </w:rPr>
        <w:t>Agreements:</w:t>
      </w:r>
    </w:p>
    <w:p w14:paraId="69E0CA5F" w14:textId="77777777" w:rsidR="00B807ED" w:rsidRPr="00B807ED" w:rsidRDefault="00B807ED" w:rsidP="00694D7C">
      <w:pPr>
        <w:numPr>
          <w:ilvl w:val="0"/>
          <w:numId w:val="27"/>
        </w:numPr>
        <w:tabs>
          <w:tab w:val="clear" w:pos="720"/>
          <w:tab w:val="num" w:pos="1004"/>
        </w:tabs>
        <w:overflowPunct/>
        <w:autoSpaceDE/>
        <w:autoSpaceDN/>
        <w:adjustRightInd/>
        <w:spacing w:after="0"/>
        <w:ind w:left="1004"/>
        <w:textAlignment w:val="auto"/>
        <w:rPr>
          <w:rFonts w:ascii="Times" w:eastAsia="MS Mincho" w:hAnsi="Times"/>
          <w:i/>
          <w:sz w:val="18"/>
          <w:szCs w:val="24"/>
          <w:lang w:val="en-US" w:eastAsia="ja-JP"/>
        </w:rPr>
      </w:pPr>
      <w:r w:rsidRPr="00B807ED">
        <w:rPr>
          <w:rFonts w:ascii="Times" w:eastAsia="MS Mincho" w:hAnsi="Times" w:hint="eastAsia"/>
          <w:i/>
          <w:sz w:val="18"/>
          <w:szCs w:val="24"/>
          <w:lang w:val="en-US" w:eastAsia="ja-JP"/>
        </w:rPr>
        <w:t>For DL CBG-based (re)transmission,</w:t>
      </w:r>
    </w:p>
    <w:p w14:paraId="6FC07C18" w14:textId="77777777" w:rsidR="00B807ED" w:rsidRPr="00B807ED" w:rsidRDefault="00B807ED" w:rsidP="00694D7C">
      <w:pPr>
        <w:numPr>
          <w:ilvl w:val="1"/>
          <w:numId w:val="27"/>
        </w:numPr>
        <w:tabs>
          <w:tab w:val="clear" w:pos="1440"/>
          <w:tab w:val="num" w:pos="1724"/>
        </w:tabs>
        <w:overflowPunct/>
        <w:autoSpaceDE/>
        <w:autoSpaceDN/>
        <w:adjustRightInd/>
        <w:spacing w:after="0"/>
        <w:ind w:left="1724"/>
        <w:textAlignment w:val="auto"/>
        <w:rPr>
          <w:rFonts w:ascii="Times" w:eastAsia="MS Mincho" w:hAnsi="Times"/>
          <w:i/>
          <w:sz w:val="18"/>
          <w:szCs w:val="24"/>
          <w:lang w:val="en-US" w:eastAsia="ja-JP"/>
        </w:rPr>
      </w:pPr>
      <w:r w:rsidRPr="00B807ED">
        <w:rPr>
          <w:rFonts w:ascii="Times" w:eastAsia="MS Mincho" w:hAnsi="Times" w:hint="eastAsia"/>
          <w:i/>
          <w:sz w:val="18"/>
          <w:szCs w:val="24"/>
          <w:lang w:val="en-US" w:eastAsia="ja-JP"/>
        </w:rPr>
        <w:t>Following information can be configured to be included in the same DCI:</w:t>
      </w:r>
    </w:p>
    <w:p w14:paraId="46659FE7" w14:textId="77777777" w:rsidR="00B807ED" w:rsidRPr="00B807ED" w:rsidRDefault="00B807ED" w:rsidP="00694D7C">
      <w:pPr>
        <w:numPr>
          <w:ilvl w:val="2"/>
          <w:numId w:val="27"/>
        </w:numPr>
        <w:tabs>
          <w:tab w:val="clear" w:pos="2160"/>
          <w:tab w:val="num" w:pos="2444"/>
        </w:tabs>
        <w:overflowPunct/>
        <w:autoSpaceDE/>
        <w:autoSpaceDN/>
        <w:adjustRightInd/>
        <w:spacing w:after="0"/>
        <w:ind w:left="2444"/>
        <w:textAlignment w:val="auto"/>
        <w:rPr>
          <w:rFonts w:ascii="Times" w:eastAsia="MS Mincho" w:hAnsi="Times"/>
          <w:i/>
          <w:sz w:val="18"/>
          <w:szCs w:val="24"/>
          <w:lang w:val="en-US" w:eastAsia="ja-JP"/>
        </w:rPr>
      </w:pPr>
      <w:r w:rsidRPr="00B807ED">
        <w:rPr>
          <w:rFonts w:ascii="Times" w:eastAsia="MS Mincho" w:hAnsi="Times" w:hint="eastAsia"/>
          <w:i/>
          <w:sz w:val="18"/>
          <w:szCs w:val="24"/>
          <w:lang w:val="en-US" w:eastAsia="ja-JP"/>
        </w:rPr>
        <w:t>Which CBG(s) is/are (re)transmitted.</w:t>
      </w:r>
    </w:p>
    <w:p w14:paraId="43B42C12" w14:textId="77777777" w:rsidR="00B807ED" w:rsidRPr="00B807ED" w:rsidRDefault="00B807ED" w:rsidP="00694D7C">
      <w:pPr>
        <w:numPr>
          <w:ilvl w:val="2"/>
          <w:numId w:val="27"/>
        </w:numPr>
        <w:tabs>
          <w:tab w:val="clear" w:pos="2160"/>
          <w:tab w:val="num" w:pos="2444"/>
        </w:tabs>
        <w:overflowPunct/>
        <w:autoSpaceDE/>
        <w:autoSpaceDN/>
        <w:adjustRightInd/>
        <w:spacing w:after="0"/>
        <w:ind w:left="2444"/>
        <w:textAlignment w:val="auto"/>
        <w:rPr>
          <w:rFonts w:ascii="Times" w:eastAsia="MS Mincho" w:hAnsi="Times"/>
          <w:i/>
          <w:sz w:val="18"/>
          <w:szCs w:val="24"/>
          <w:lang w:val="en-US" w:eastAsia="ja-JP"/>
        </w:rPr>
      </w:pPr>
      <w:r w:rsidRPr="00B807ED">
        <w:rPr>
          <w:rFonts w:ascii="Times" w:eastAsia="MS Mincho" w:hAnsi="Times" w:hint="eastAsia"/>
          <w:i/>
          <w:sz w:val="18"/>
          <w:szCs w:val="24"/>
          <w:lang w:val="en-US" w:eastAsia="ja-JP"/>
        </w:rPr>
        <w:t>Which CBG(s) is/are handled differently for soft-buffer/HARQ combining.</w:t>
      </w:r>
    </w:p>
    <w:p w14:paraId="720B8F7E" w14:textId="77777777" w:rsidR="00B807ED" w:rsidRPr="00B807ED" w:rsidRDefault="00B807ED" w:rsidP="00694D7C">
      <w:pPr>
        <w:numPr>
          <w:ilvl w:val="3"/>
          <w:numId w:val="27"/>
        </w:numPr>
        <w:tabs>
          <w:tab w:val="clear" w:pos="2880"/>
          <w:tab w:val="num" w:pos="3164"/>
        </w:tabs>
        <w:overflowPunct/>
        <w:autoSpaceDE/>
        <w:autoSpaceDN/>
        <w:adjustRightInd/>
        <w:spacing w:after="0"/>
        <w:ind w:left="3164"/>
        <w:textAlignment w:val="auto"/>
        <w:rPr>
          <w:rFonts w:ascii="Times" w:eastAsia="MS Mincho" w:hAnsi="Times"/>
          <w:i/>
          <w:sz w:val="18"/>
          <w:szCs w:val="24"/>
          <w:lang w:val="en-US" w:eastAsia="ja-JP"/>
        </w:rPr>
      </w:pPr>
      <w:r w:rsidRPr="00B807ED">
        <w:rPr>
          <w:rFonts w:ascii="Times" w:eastAsia="MS Mincho" w:hAnsi="Times" w:hint="eastAsia"/>
          <w:i/>
          <w:sz w:val="18"/>
          <w:szCs w:val="24"/>
          <w:lang w:val="en-US" w:eastAsia="ja-JP"/>
        </w:rPr>
        <w:t>FFS: whether/how UE behavior is specified, e.g., part/whole of soft-buffer of indicated CBG(s) is flushed.</w:t>
      </w:r>
    </w:p>
    <w:p w14:paraId="408CD6A0" w14:textId="77777777" w:rsidR="00B807ED" w:rsidRPr="00B807ED" w:rsidRDefault="00B807ED" w:rsidP="00694D7C">
      <w:pPr>
        <w:numPr>
          <w:ilvl w:val="1"/>
          <w:numId w:val="27"/>
        </w:numPr>
        <w:tabs>
          <w:tab w:val="clear" w:pos="1440"/>
          <w:tab w:val="num" w:pos="1724"/>
        </w:tabs>
        <w:overflowPunct/>
        <w:autoSpaceDE/>
        <w:autoSpaceDN/>
        <w:adjustRightInd/>
        <w:spacing w:after="0"/>
        <w:ind w:left="1724"/>
        <w:textAlignment w:val="auto"/>
        <w:rPr>
          <w:rFonts w:ascii="Times" w:eastAsia="MS Mincho" w:hAnsi="Times"/>
          <w:i/>
          <w:sz w:val="18"/>
          <w:szCs w:val="24"/>
          <w:lang w:val="en-US" w:eastAsia="ja-JP"/>
        </w:rPr>
      </w:pPr>
      <w:r w:rsidRPr="00B807ED">
        <w:rPr>
          <w:rFonts w:ascii="Times" w:eastAsia="MS Mincho" w:hAnsi="Times" w:hint="eastAsia"/>
          <w:i/>
          <w:sz w:val="18"/>
          <w:szCs w:val="24"/>
          <w:lang w:val="en-US" w:eastAsia="ja-JP"/>
        </w:rPr>
        <w:t>FFS: timing of CBG-based (re)transmission.</w:t>
      </w:r>
    </w:p>
    <w:p w14:paraId="761289B8" w14:textId="77777777" w:rsidR="00B807ED" w:rsidRPr="00B807ED" w:rsidRDefault="00B807ED" w:rsidP="00694D7C">
      <w:pPr>
        <w:numPr>
          <w:ilvl w:val="0"/>
          <w:numId w:val="27"/>
        </w:numPr>
        <w:tabs>
          <w:tab w:val="clear" w:pos="720"/>
          <w:tab w:val="num" w:pos="1004"/>
        </w:tabs>
        <w:overflowPunct/>
        <w:autoSpaceDE/>
        <w:autoSpaceDN/>
        <w:adjustRightInd/>
        <w:spacing w:after="0"/>
        <w:ind w:left="1004"/>
        <w:textAlignment w:val="auto"/>
        <w:rPr>
          <w:rFonts w:ascii="Times" w:eastAsia="MS Mincho" w:hAnsi="Times"/>
          <w:i/>
          <w:sz w:val="18"/>
          <w:szCs w:val="24"/>
          <w:lang w:val="en-US" w:eastAsia="ja-JP"/>
        </w:rPr>
      </w:pPr>
      <w:r w:rsidRPr="00B807ED">
        <w:rPr>
          <w:rFonts w:ascii="Times" w:eastAsia="MS Mincho" w:hAnsi="Times" w:hint="eastAsia"/>
          <w:i/>
          <w:sz w:val="18"/>
          <w:szCs w:val="24"/>
          <w:lang w:val="en-US" w:eastAsia="ja-JP"/>
        </w:rPr>
        <w:t>For preemption indication;</w:t>
      </w:r>
    </w:p>
    <w:p w14:paraId="403A50A1" w14:textId="77777777" w:rsidR="00B807ED" w:rsidRPr="00B807ED" w:rsidRDefault="00B807ED" w:rsidP="00694D7C">
      <w:pPr>
        <w:numPr>
          <w:ilvl w:val="1"/>
          <w:numId w:val="27"/>
        </w:numPr>
        <w:tabs>
          <w:tab w:val="clear" w:pos="1440"/>
          <w:tab w:val="num" w:pos="1724"/>
        </w:tabs>
        <w:overflowPunct/>
        <w:autoSpaceDE/>
        <w:autoSpaceDN/>
        <w:adjustRightInd/>
        <w:spacing w:after="0"/>
        <w:ind w:left="1724"/>
        <w:textAlignment w:val="auto"/>
        <w:rPr>
          <w:rFonts w:ascii="Times" w:eastAsia="MS Mincho" w:hAnsi="Times"/>
          <w:i/>
          <w:sz w:val="18"/>
          <w:szCs w:val="24"/>
          <w:lang w:val="en-US" w:eastAsia="ja-JP"/>
        </w:rPr>
      </w:pPr>
      <w:r w:rsidRPr="00B807ED">
        <w:rPr>
          <w:rFonts w:ascii="Times" w:eastAsia="MS Mincho" w:hAnsi="Times" w:hint="eastAsia"/>
          <w:i/>
          <w:sz w:val="18"/>
          <w:szCs w:val="24"/>
          <w:lang w:val="en-US" w:eastAsia="ja-JP"/>
        </w:rPr>
        <w:t>When configured, the indication tells the UE(s) which DL physical resources has been preempted.</w:t>
      </w:r>
    </w:p>
    <w:p w14:paraId="183402D6" w14:textId="77777777" w:rsidR="00B807ED" w:rsidRPr="00B807ED" w:rsidRDefault="00B807ED" w:rsidP="00694D7C">
      <w:pPr>
        <w:numPr>
          <w:ilvl w:val="1"/>
          <w:numId w:val="27"/>
        </w:numPr>
        <w:tabs>
          <w:tab w:val="clear" w:pos="1440"/>
          <w:tab w:val="num" w:pos="1724"/>
        </w:tabs>
        <w:overflowPunct/>
        <w:autoSpaceDE/>
        <w:autoSpaceDN/>
        <w:adjustRightInd/>
        <w:spacing w:after="0"/>
        <w:ind w:left="1724"/>
        <w:textAlignment w:val="auto"/>
        <w:rPr>
          <w:rFonts w:ascii="Times" w:eastAsia="MS Mincho" w:hAnsi="Times"/>
          <w:i/>
          <w:sz w:val="18"/>
          <w:szCs w:val="24"/>
          <w:lang w:val="en-US" w:eastAsia="ja-JP"/>
        </w:rPr>
      </w:pPr>
      <w:r w:rsidRPr="00B807ED">
        <w:rPr>
          <w:rFonts w:ascii="Times" w:eastAsia="MS Mincho" w:hAnsi="Times" w:hint="eastAsia"/>
          <w:i/>
          <w:sz w:val="18"/>
          <w:szCs w:val="24"/>
          <w:lang w:val="en-US" w:eastAsia="ja-JP"/>
        </w:rPr>
        <w:t>The preemption indication is transmitted using a PDCCH.</w:t>
      </w:r>
    </w:p>
    <w:p w14:paraId="1E5D971F" w14:textId="77777777" w:rsidR="00B807ED" w:rsidRPr="00B807ED" w:rsidRDefault="00B807ED" w:rsidP="00694D7C">
      <w:pPr>
        <w:numPr>
          <w:ilvl w:val="2"/>
          <w:numId w:val="27"/>
        </w:numPr>
        <w:tabs>
          <w:tab w:val="clear" w:pos="2160"/>
          <w:tab w:val="num" w:pos="2444"/>
        </w:tabs>
        <w:overflowPunct/>
        <w:autoSpaceDE/>
        <w:autoSpaceDN/>
        <w:adjustRightInd/>
        <w:spacing w:after="0"/>
        <w:ind w:left="2444"/>
        <w:textAlignment w:val="auto"/>
        <w:rPr>
          <w:rFonts w:ascii="Times" w:eastAsia="MS Mincho" w:hAnsi="Times"/>
          <w:i/>
          <w:sz w:val="18"/>
          <w:szCs w:val="24"/>
          <w:lang w:val="en-US" w:eastAsia="ja-JP"/>
        </w:rPr>
      </w:pPr>
      <w:r w:rsidRPr="00B807ED">
        <w:rPr>
          <w:rFonts w:ascii="Times" w:eastAsia="MS Mincho" w:hAnsi="Times" w:hint="eastAsia"/>
          <w:i/>
          <w:sz w:val="18"/>
          <w:szCs w:val="24"/>
          <w:lang w:val="en-US" w:eastAsia="ja-JP"/>
        </w:rPr>
        <w:t>The preemption indication is not included in the DCI that schedules the (re)transmission of the data transmission.</w:t>
      </w:r>
    </w:p>
    <w:p w14:paraId="077B4FC4" w14:textId="77777777" w:rsidR="00B807ED" w:rsidRPr="00B807ED" w:rsidRDefault="00B807ED" w:rsidP="00694D7C">
      <w:pPr>
        <w:numPr>
          <w:ilvl w:val="1"/>
          <w:numId w:val="27"/>
        </w:numPr>
        <w:tabs>
          <w:tab w:val="clear" w:pos="1440"/>
          <w:tab w:val="num" w:pos="1724"/>
        </w:tabs>
        <w:overflowPunct/>
        <w:autoSpaceDE/>
        <w:autoSpaceDN/>
        <w:adjustRightInd/>
        <w:spacing w:after="0"/>
        <w:ind w:left="1724"/>
        <w:textAlignment w:val="auto"/>
        <w:rPr>
          <w:rFonts w:ascii="Times" w:eastAsia="MS Mincho" w:hAnsi="Times"/>
          <w:i/>
          <w:sz w:val="18"/>
          <w:szCs w:val="24"/>
          <w:lang w:val="en-US" w:eastAsia="ja-JP"/>
        </w:rPr>
      </w:pPr>
      <w:r w:rsidRPr="00B807ED">
        <w:rPr>
          <w:rFonts w:ascii="Times" w:eastAsia="MS Mincho" w:hAnsi="Times" w:hint="eastAsia"/>
          <w:i/>
          <w:sz w:val="18"/>
          <w:szCs w:val="24"/>
          <w:lang w:val="en-US" w:eastAsia="ja-JP"/>
        </w:rPr>
        <w:t>FFS: the granularity of the time and/or frequency resources.</w:t>
      </w:r>
    </w:p>
    <w:p w14:paraId="20AFBAF7" w14:textId="77777777" w:rsidR="00B807ED" w:rsidRPr="00B807ED" w:rsidRDefault="00B807ED" w:rsidP="00694D7C">
      <w:pPr>
        <w:numPr>
          <w:ilvl w:val="1"/>
          <w:numId w:val="27"/>
        </w:numPr>
        <w:tabs>
          <w:tab w:val="clear" w:pos="1440"/>
          <w:tab w:val="num" w:pos="1724"/>
        </w:tabs>
        <w:overflowPunct/>
        <w:autoSpaceDE/>
        <w:autoSpaceDN/>
        <w:adjustRightInd/>
        <w:spacing w:after="0"/>
        <w:ind w:left="1724"/>
        <w:textAlignment w:val="auto"/>
        <w:rPr>
          <w:rFonts w:ascii="Times" w:eastAsia="MS Mincho" w:hAnsi="Times"/>
          <w:i/>
          <w:sz w:val="18"/>
          <w:szCs w:val="24"/>
          <w:lang w:val="en-US" w:eastAsia="ja-JP"/>
        </w:rPr>
      </w:pPr>
      <w:r w:rsidRPr="00B807ED">
        <w:rPr>
          <w:rFonts w:ascii="Times" w:eastAsia="MS Mincho" w:hAnsi="Times" w:hint="eastAsia"/>
          <w:i/>
          <w:sz w:val="18"/>
          <w:szCs w:val="24"/>
          <w:lang w:val="en-US" w:eastAsia="ja-JP"/>
        </w:rPr>
        <w:t>FFS: what DCI is used.</w:t>
      </w:r>
    </w:p>
    <w:p w14:paraId="10A46861" w14:textId="77777777" w:rsidR="00B807ED" w:rsidRPr="00B807ED" w:rsidRDefault="00B807ED" w:rsidP="00694D7C">
      <w:pPr>
        <w:numPr>
          <w:ilvl w:val="1"/>
          <w:numId w:val="27"/>
        </w:numPr>
        <w:tabs>
          <w:tab w:val="clear" w:pos="1440"/>
          <w:tab w:val="num" w:pos="1724"/>
        </w:tabs>
        <w:overflowPunct/>
        <w:autoSpaceDE/>
        <w:autoSpaceDN/>
        <w:adjustRightInd/>
        <w:spacing w:after="0"/>
        <w:ind w:left="1724"/>
        <w:textAlignment w:val="auto"/>
        <w:rPr>
          <w:rFonts w:ascii="Times" w:eastAsia="MS Mincho" w:hAnsi="Times"/>
          <w:i/>
          <w:sz w:val="18"/>
          <w:szCs w:val="24"/>
          <w:lang w:val="en-US" w:eastAsia="ja-JP"/>
        </w:rPr>
      </w:pPr>
      <w:r w:rsidRPr="00B807ED">
        <w:rPr>
          <w:rFonts w:ascii="Times" w:eastAsia="MS Mincho" w:hAnsi="Times" w:hint="eastAsia"/>
          <w:i/>
          <w:sz w:val="18"/>
          <w:szCs w:val="24"/>
          <w:lang w:val="en-US" w:eastAsia="ja-JP"/>
        </w:rPr>
        <w:t>FFS: timing of the preemption indication.</w:t>
      </w:r>
    </w:p>
    <w:p w14:paraId="72712D27" w14:textId="77777777" w:rsidR="00B807ED" w:rsidRPr="00B807ED" w:rsidRDefault="00B807ED" w:rsidP="00694D7C">
      <w:pPr>
        <w:overflowPunct/>
        <w:autoSpaceDE/>
        <w:autoSpaceDN/>
        <w:adjustRightInd/>
        <w:spacing w:after="0"/>
        <w:ind w:left="284"/>
        <w:textAlignment w:val="auto"/>
        <w:rPr>
          <w:rFonts w:ascii="Times" w:eastAsia="MS Mincho" w:hAnsi="Times"/>
          <w:b/>
          <w:i/>
          <w:sz w:val="18"/>
          <w:u w:val="single"/>
          <w:lang w:val="en-US" w:eastAsia="ja-JP"/>
        </w:rPr>
      </w:pPr>
      <w:r w:rsidRPr="00B807ED">
        <w:rPr>
          <w:rFonts w:ascii="Times" w:eastAsia="MS Mincho" w:hAnsi="Times" w:hint="eastAsia"/>
          <w:b/>
          <w:i/>
          <w:sz w:val="18"/>
          <w:highlight w:val="green"/>
          <w:u w:val="single"/>
          <w:lang w:val="en-US" w:eastAsia="ja-JP"/>
        </w:rPr>
        <w:t>Agreements</w:t>
      </w:r>
      <w:r w:rsidRPr="00B807ED">
        <w:rPr>
          <w:rFonts w:ascii="Times" w:eastAsia="MS Mincho" w:hAnsi="Times"/>
          <w:b/>
          <w:i/>
          <w:sz w:val="18"/>
          <w:highlight w:val="green"/>
          <w:u w:val="single"/>
          <w:lang w:val="en-US" w:eastAsia="ja-JP"/>
        </w:rPr>
        <w:t>:</w:t>
      </w:r>
    </w:p>
    <w:p w14:paraId="7ADE13EC" w14:textId="77777777" w:rsidR="00B807ED" w:rsidRPr="00B807ED" w:rsidRDefault="00B807ED" w:rsidP="00694D7C">
      <w:pPr>
        <w:numPr>
          <w:ilvl w:val="0"/>
          <w:numId w:val="28"/>
        </w:numPr>
        <w:tabs>
          <w:tab w:val="clear" w:pos="360"/>
          <w:tab w:val="num" w:pos="644"/>
        </w:tabs>
        <w:overflowPunct/>
        <w:autoSpaceDE/>
        <w:autoSpaceDN/>
        <w:adjustRightInd/>
        <w:spacing w:after="0"/>
        <w:ind w:left="644"/>
        <w:textAlignment w:val="auto"/>
        <w:rPr>
          <w:rFonts w:ascii="Times" w:eastAsia="MS Mincho" w:hAnsi="Times"/>
          <w:i/>
          <w:sz w:val="18"/>
          <w:lang w:val="en-US" w:eastAsia="ja-JP"/>
        </w:rPr>
      </w:pPr>
      <w:r w:rsidRPr="00B807ED">
        <w:rPr>
          <w:rFonts w:ascii="Times" w:eastAsia="MS Mincho" w:hAnsi="Times"/>
          <w:i/>
          <w:sz w:val="18"/>
          <w:lang w:val="en-US" w:eastAsia="ja-JP"/>
        </w:rPr>
        <w:t>For grouping CB(s) into CBG(s), following is adopted.</w:t>
      </w:r>
    </w:p>
    <w:p w14:paraId="34AF2E29" w14:textId="77777777" w:rsidR="00B807ED" w:rsidRPr="00B807ED" w:rsidRDefault="00B807ED" w:rsidP="00694D7C">
      <w:pPr>
        <w:numPr>
          <w:ilvl w:val="1"/>
          <w:numId w:val="28"/>
        </w:numPr>
        <w:tabs>
          <w:tab w:val="clear" w:pos="1080"/>
          <w:tab w:val="num" w:pos="1364"/>
        </w:tabs>
        <w:overflowPunct/>
        <w:autoSpaceDE/>
        <w:autoSpaceDN/>
        <w:adjustRightInd/>
        <w:spacing w:after="0"/>
        <w:ind w:left="1364"/>
        <w:textAlignment w:val="auto"/>
        <w:rPr>
          <w:rFonts w:ascii="Times" w:eastAsia="MS Mincho" w:hAnsi="Times"/>
          <w:i/>
          <w:sz w:val="18"/>
          <w:lang w:val="en-US" w:eastAsia="ja-JP"/>
        </w:rPr>
      </w:pPr>
      <w:r w:rsidRPr="00B807ED">
        <w:rPr>
          <w:rFonts w:ascii="Times" w:eastAsia="MS Mincho" w:hAnsi="Times"/>
          <w:i/>
          <w:sz w:val="18"/>
          <w:lang w:val="en-US" w:eastAsia="ja-JP"/>
        </w:rPr>
        <w:t>With indicated number of CBGs, the number of CBs in a CBG changes according to TBS.</w:t>
      </w:r>
    </w:p>
    <w:p w14:paraId="3F8AA440" w14:textId="77777777" w:rsidR="00B807ED" w:rsidRPr="00B807ED" w:rsidRDefault="00B807ED" w:rsidP="00694D7C">
      <w:pPr>
        <w:numPr>
          <w:ilvl w:val="2"/>
          <w:numId w:val="28"/>
        </w:numPr>
        <w:tabs>
          <w:tab w:val="clear" w:pos="1800"/>
          <w:tab w:val="num" w:pos="2084"/>
        </w:tabs>
        <w:overflowPunct/>
        <w:autoSpaceDE/>
        <w:autoSpaceDN/>
        <w:adjustRightInd/>
        <w:spacing w:after="0"/>
        <w:ind w:left="2084"/>
        <w:textAlignment w:val="auto"/>
        <w:rPr>
          <w:rFonts w:ascii="Times" w:eastAsia="MS Mincho" w:hAnsi="Times"/>
          <w:i/>
          <w:sz w:val="18"/>
          <w:lang w:val="en-US" w:eastAsia="ja-JP"/>
        </w:rPr>
      </w:pPr>
      <w:r w:rsidRPr="00B807ED">
        <w:rPr>
          <w:rFonts w:ascii="Times" w:eastAsia="MS Mincho" w:hAnsi="Times"/>
          <w:i/>
          <w:sz w:val="18"/>
          <w:lang w:val="en-US" w:eastAsia="ja-JP"/>
        </w:rPr>
        <w:t>FFS for the case of re-transmission or the case when the number of CBs is smaller than the indicated number of CBG</w:t>
      </w:r>
      <w:r w:rsidRPr="00B807ED">
        <w:rPr>
          <w:rFonts w:ascii="Times" w:eastAsia="Batang" w:hAnsi="Times"/>
          <w:i/>
          <w:sz w:val="18"/>
        </w:rPr>
        <w:t xml:space="preserve"> </w:t>
      </w:r>
    </w:p>
    <w:p w14:paraId="44CBFE6C" w14:textId="77777777" w:rsidR="00B807ED" w:rsidRPr="00B807ED" w:rsidRDefault="00B807ED" w:rsidP="00694D7C">
      <w:pPr>
        <w:numPr>
          <w:ilvl w:val="2"/>
          <w:numId w:val="28"/>
        </w:numPr>
        <w:tabs>
          <w:tab w:val="clear" w:pos="1800"/>
          <w:tab w:val="num" w:pos="2084"/>
        </w:tabs>
        <w:overflowPunct/>
        <w:autoSpaceDE/>
        <w:autoSpaceDN/>
        <w:adjustRightInd/>
        <w:spacing w:after="0"/>
        <w:ind w:left="2084"/>
        <w:textAlignment w:val="auto"/>
        <w:rPr>
          <w:rFonts w:ascii="Times" w:eastAsia="MS Mincho" w:hAnsi="Times"/>
          <w:i/>
          <w:sz w:val="18"/>
          <w:lang w:val="en-US" w:eastAsia="ja-JP"/>
        </w:rPr>
      </w:pPr>
      <w:r w:rsidRPr="00B807ED">
        <w:rPr>
          <w:rFonts w:ascii="Times" w:eastAsia="MS Mincho" w:hAnsi="Times"/>
          <w:i/>
          <w:sz w:val="18"/>
          <w:lang w:val="en-US" w:eastAsia="ja-JP"/>
        </w:rPr>
        <w:t>FFS “indicated” is realized by RRC, MAC, L1 signalling</w:t>
      </w:r>
    </w:p>
    <w:p w14:paraId="302B367A" w14:textId="77777777" w:rsidR="00B807ED" w:rsidRPr="00B807ED" w:rsidRDefault="00B807ED" w:rsidP="00694D7C">
      <w:pPr>
        <w:overflowPunct/>
        <w:autoSpaceDE/>
        <w:autoSpaceDN/>
        <w:adjustRightInd/>
        <w:spacing w:after="0"/>
        <w:ind w:left="1724" w:hanging="1440"/>
        <w:textAlignment w:val="auto"/>
        <w:rPr>
          <w:rFonts w:ascii="Times" w:eastAsia="MS Mincho" w:hAnsi="Times"/>
          <w:b/>
          <w:i/>
          <w:sz w:val="18"/>
          <w:u w:val="single"/>
          <w:lang w:val="en-US" w:eastAsia="ja-JP"/>
        </w:rPr>
      </w:pPr>
      <w:r w:rsidRPr="00B807ED">
        <w:rPr>
          <w:rFonts w:ascii="Times" w:eastAsia="MS Mincho" w:hAnsi="Times" w:hint="eastAsia"/>
          <w:b/>
          <w:i/>
          <w:sz w:val="18"/>
          <w:highlight w:val="green"/>
          <w:u w:val="single"/>
          <w:lang w:val="en-US" w:eastAsia="ja-JP"/>
        </w:rPr>
        <w:t>Agreements</w:t>
      </w:r>
      <w:r w:rsidRPr="00B807ED">
        <w:rPr>
          <w:rFonts w:ascii="Times" w:eastAsia="MS Mincho" w:hAnsi="Times"/>
          <w:b/>
          <w:i/>
          <w:sz w:val="18"/>
          <w:highlight w:val="green"/>
          <w:u w:val="single"/>
          <w:lang w:val="en-US" w:eastAsia="ja-JP"/>
        </w:rPr>
        <w:t>:</w:t>
      </w:r>
    </w:p>
    <w:p w14:paraId="04D5A530" w14:textId="77777777" w:rsidR="00B807ED" w:rsidRPr="00B807ED" w:rsidRDefault="00B807ED" w:rsidP="00694D7C">
      <w:pPr>
        <w:numPr>
          <w:ilvl w:val="0"/>
          <w:numId w:val="29"/>
        </w:numPr>
        <w:tabs>
          <w:tab w:val="clear" w:pos="360"/>
          <w:tab w:val="num" w:pos="644"/>
        </w:tabs>
        <w:overflowPunct/>
        <w:autoSpaceDE/>
        <w:autoSpaceDN/>
        <w:adjustRightInd/>
        <w:spacing w:after="0"/>
        <w:ind w:left="644"/>
        <w:textAlignment w:val="auto"/>
        <w:rPr>
          <w:rFonts w:ascii="Times" w:eastAsia="MS Mincho" w:hAnsi="Times"/>
          <w:i/>
          <w:sz w:val="18"/>
          <w:szCs w:val="24"/>
          <w:lang w:val="en-US" w:eastAsia="ja-JP"/>
        </w:rPr>
      </w:pPr>
      <w:r w:rsidRPr="00B807ED">
        <w:rPr>
          <w:rFonts w:ascii="Times" w:eastAsia="MS Mincho" w:hAnsi="Times" w:hint="eastAsia"/>
          <w:i/>
          <w:sz w:val="18"/>
          <w:szCs w:val="24"/>
          <w:lang w:val="en-US" w:eastAsia="ja-JP"/>
        </w:rPr>
        <w:t>At least following is supported.</w:t>
      </w:r>
    </w:p>
    <w:p w14:paraId="132EE520" w14:textId="77777777" w:rsidR="00B807ED" w:rsidRPr="00B807ED" w:rsidRDefault="00B807ED" w:rsidP="00694D7C">
      <w:pPr>
        <w:numPr>
          <w:ilvl w:val="1"/>
          <w:numId w:val="29"/>
        </w:numPr>
        <w:tabs>
          <w:tab w:val="clear" w:pos="1080"/>
          <w:tab w:val="num" w:pos="1364"/>
        </w:tabs>
        <w:overflowPunct/>
        <w:autoSpaceDE/>
        <w:autoSpaceDN/>
        <w:adjustRightInd/>
        <w:spacing w:after="0"/>
        <w:ind w:left="1364"/>
        <w:textAlignment w:val="auto"/>
        <w:rPr>
          <w:rFonts w:ascii="Times" w:eastAsia="MS Mincho" w:hAnsi="Times"/>
          <w:i/>
          <w:sz w:val="18"/>
          <w:szCs w:val="24"/>
          <w:lang w:val="en-US" w:eastAsia="ja-JP"/>
        </w:rPr>
      </w:pPr>
      <w:r w:rsidRPr="00B807ED">
        <w:rPr>
          <w:rFonts w:ascii="Times" w:eastAsia="MS Mincho" w:hAnsi="Times"/>
          <w:i/>
          <w:sz w:val="18"/>
          <w:szCs w:val="24"/>
          <w:lang w:val="en-US" w:eastAsia="ja-JP"/>
        </w:rPr>
        <w:t>For a given number of CBGs for a given TB, the number of CBs per CBG should be as uniform as possible.</w:t>
      </w:r>
    </w:p>
    <w:p w14:paraId="0918C96E" w14:textId="77777777" w:rsidR="00B807ED" w:rsidRPr="00B807ED" w:rsidRDefault="00B807ED" w:rsidP="00694D7C">
      <w:pPr>
        <w:numPr>
          <w:ilvl w:val="2"/>
          <w:numId w:val="29"/>
        </w:numPr>
        <w:tabs>
          <w:tab w:val="clear" w:pos="1800"/>
          <w:tab w:val="num" w:pos="2084"/>
        </w:tabs>
        <w:overflowPunct/>
        <w:autoSpaceDE/>
        <w:autoSpaceDN/>
        <w:adjustRightInd/>
        <w:spacing w:after="0"/>
        <w:ind w:left="2084"/>
        <w:textAlignment w:val="auto"/>
        <w:rPr>
          <w:rFonts w:ascii="Times" w:eastAsia="MS Mincho" w:hAnsi="Times"/>
          <w:i/>
          <w:sz w:val="18"/>
          <w:szCs w:val="24"/>
          <w:lang w:val="en-US" w:eastAsia="ja-JP"/>
        </w:rPr>
      </w:pPr>
      <w:r w:rsidRPr="00B807ED">
        <w:rPr>
          <w:rFonts w:ascii="Times" w:eastAsia="MS Mincho" w:hAnsi="Times"/>
          <w:i/>
          <w:sz w:val="18"/>
          <w:szCs w:val="24"/>
          <w:lang w:val="en-US" w:eastAsia="ja-JP"/>
        </w:rPr>
        <w:t>The difference of CB number per CBG between any two CBGs is either 0 or 1.</w:t>
      </w:r>
    </w:p>
    <w:p w14:paraId="16F43B68" w14:textId="77777777" w:rsidR="00B807ED" w:rsidRPr="00B807ED" w:rsidRDefault="00B807ED" w:rsidP="00694D7C">
      <w:pPr>
        <w:numPr>
          <w:ilvl w:val="2"/>
          <w:numId w:val="29"/>
        </w:numPr>
        <w:tabs>
          <w:tab w:val="clear" w:pos="1800"/>
          <w:tab w:val="num" w:pos="2084"/>
        </w:tabs>
        <w:overflowPunct/>
        <w:autoSpaceDE/>
        <w:autoSpaceDN/>
        <w:adjustRightInd/>
        <w:spacing w:after="0"/>
        <w:ind w:left="2084"/>
        <w:textAlignment w:val="auto"/>
        <w:rPr>
          <w:rFonts w:ascii="Times" w:eastAsia="MS Mincho" w:hAnsi="Times"/>
          <w:i/>
          <w:sz w:val="18"/>
          <w:szCs w:val="24"/>
          <w:lang w:val="en-US" w:eastAsia="ja-JP"/>
        </w:rPr>
      </w:pPr>
      <w:r w:rsidRPr="00B807ED">
        <w:rPr>
          <w:rFonts w:ascii="Times" w:eastAsia="MS Mincho" w:hAnsi="Times"/>
          <w:i/>
          <w:sz w:val="18"/>
          <w:szCs w:val="24"/>
          <w:lang w:val="en-US" w:eastAsia="ja-JP"/>
        </w:rPr>
        <w:t>FFS on the detailed rule for the CB grouping.</w:t>
      </w:r>
    </w:p>
    <w:p w14:paraId="3297D255" w14:textId="77777777" w:rsidR="00B807ED" w:rsidRPr="00B807ED" w:rsidRDefault="00B807ED" w:rsidP="00694D7C">
      <w:pPr>
        <w:numPr>
          <w:ilvl w:val="0"/>
          <w:numId w:val="29"/>
        </w:numPr>
        <w:tabs>
          <w:tab w:val="clear" w:pos="360"/>
          <w:tab w:val="num" w:pos="644"/>
        </w:tabs>
        <w:overflowPunct/>
        <w:autoSpaceDE/>
        <w:autoSpaceDN/>
        <w:adjustRightInd/>
        <w:spacing w:after="0"/>
        <w:ind w:left="644"/>
        <w:textAlignment w:val="auto"/>
        <w:rPr>
          <w:rFonts w:ascii="Times" w:eastAsia="MS Mincho" w:hAnsi="Times"/>
          <w:szCs w:val="24"/>
          <w:lang w:val="en-US" w:eastAsia="ja-JP"/>
        </w:rPr>
      </w:pPr>
      <w:r w:rsidRPr="00B807ED">
        <w:rPr>
          <w:rFonts w:ascii="Times" w:eastAsia="MS Mincho" w:hAnsi="Times"/>
          <w:i/>
          <w:sz w:val="18"/>
          <w:szCs w:val="24"/>
          <w:lang w:val="en-US" w:eastAsia="ja-JP"/>
        </w:rPr>
        <w:lastRenderedPageBreak/>
        <w:t>Study further benefit and realization of non-uniform CB distribution across CBGs.</w:t>
      </w:r>
    </w:p>
    <w:p w14:paraId="6C5892E2" w14:textId="634E86AB" w:rsidR="00B807ED" w:rsidRDefault="00B807ED" w:rsidP="00986146">
      <w:pPr>
        <w:spacing w:after="120"/>
        <w:jc w:val="both"/>
        <w:rPr>
          <w:lang w:val="en-US"/>
        </w:rPr>
      </w:pPr>
    </w:p>
    <w:p w14:paraId="055833CB" w14:textId="4BF8884A" w:rsidR="00AE61B2" w:rsidRPr="002C5510" w:rsidRDefault="006F34DE" w:rsidP="00986146">
      <w:pPr>
        <w:spacing w:after="120"/>
        <w:jc w:val="both"/>
        <w:rPr>
          <w:lang w:val="en-US"/>
        </w:rPr>
      </w:pPr>
      <w:r>
        <w:rPr>
          <w:lang w:val="en-US"/>
        </w:rPr>
        <w:t xml:space="preserve">There has been an email discussion </w:t>
      </w:r>
      <w:r w:rsidRPr="006F34DE">
        <w:rPr>
          <w:lang w:val="en-US"/>
        </w:rPr>
        <w:t>[NRAH2-08]</w:t>
      </w:r>
      <w:r>
        <w:rPr>
          <w:lang w:val="en-US"/>
        </w:rPr>
        <w:t xml:space="preserve"> after June ad hoc meeting to discuss various aspects of the CBG-based (re-)transmission</w:t>
      </w:r>
      <w:r w:rsidR="00527F11">
        <w:rPr>
          <w:lang w:val="en-US"/>
        </w:rPr>
        <w:t xml:space="preserve">. </w:t>
      </w:r>
      <w:r w:rsidR="00AE61B2">
        <w:rPr>
          <w:lang w:val="en-US"/>
        </w:rPr>
        <w:t xml:space="preserve">In this contribution, we </w:t>
      </w:r>
      <w:r w:rsidR="00694D7C">
        <w:rPr>
          <w:lang w:val="en-US"/>
        </w:rPr>
        <w:t>focus on the discussion of HARQ-ACK feedback for</w:t>
      </w:r>
      <w:r w:rsidR="009D1C90">
        <w:rPr>
          <w:lang w:val="en-US"/>
        </w:rPr>
        <w:t xml:space="preserve"> CBG-based (re-)transmission.</w:t>
      </w:r>
    </w:p>
    <w:p w14:paraId="30E0296E" w14:textId="22E10270" w:rsidR="004B23AD" w:rsidRDefault="008D4B8A" w:rsidP="004B23AD">
      <w:pPr>
        <w:pStyle w:val="Heading1"/>
      </w:pPr>
      <w:r>
        <w:rPr>
          <w:color w:val="000000"/>
        </w:rPr>
        <w:t>2</w:t>
      </w:r>
      <w:r w:rsidR="004B23AD" w:rsidRPr="00A51522">
        <w:rPr>
          <w:color w:val="000000"/>
        </w:rPr>
        <w:tab/>
      </w:r>
      <w:r w:rsidR="00694D7C">
        <w:rPr>
          <w:color w:val="000000"/>
        </w:rPr>
        <w:t>HARQ-ACK feedback</w:t>
      </w:r>
    </w:p>
    <w:p w14:paraId="402E0206" w14:textId="3B6C638A" w:rsidR="00694D7C" w:rsidRDefault="00694D7C" w:rsidP="00694D7C">
      <w:pPr>
        <w:spacing w:after="120"/>
        <w:jc w:val="both"/>
        <w:rPr>
          <w:rFonts w:eastAsia="MS Mincho"/>
          <w:lang w:val="en-US" w:eastAsia="ja-JP"/>
        </w:rPr>
      </w:pPr>
      <w:r>
        <w:rPr>
          <w:rFonts w:eastAsia="MS Mincho"/>
          <w:lang w:val="en-US" w:eastAsia="ja-JP"/>
        </w:rPr>
        <w:t xml:space="preserve">In terms of how to group CB(s) into CBG(s), it has been agreed that the grouping is based on an indicated number of CBGs, and the number of CBs in a CBG changes according to TBS. So the </w:t>
      </w:r>
      <w:r w:rsidR="00D03676">
        <w:rPr>
          <w:rFonts w:eastAsia="MS Mincho"/>
          <w:lang w:val="en-US" w:eastAsia="ja-JP"/>
        </w:rPr>
        <w:t xml:space="preserve">actual transmitted number of CBGs </w:t>
      </w:r>
      <w:r>
        <w:rPr>
          <w:rFonts w:eastAsia="MS Mincho"/>
          <w:lang w:val="en-US" w:eastAsia="ja-JP"/>
        </w:rPr>
        <w:t>is equal to the indicated number of CBGs except for the following two cases:</w:t>
      </w:r>
    </w:p>
    <w:p w14:paraId="7009CF30" w14:textId="0FF7878F" w:rsidR="00694D7C" w:rsidRPr="00D03676" w:rsidRDefault="00A6563D" w:rsidP="00694D7C">
      <w:pPr>
        <w:pStyle w:val="ListParagraph"/>
        <w:numPr>
          <w:ilvl w:val="0"/>
          <w:numId w:val="30"/>
        </w:numPr>
        <w:spacing w:after="120"/>
        <w:jc w:val="both"/>
        <w:rPr>
          <w:rFonts w:eastAsia="MS Mincho"/>
          <w:sz w:val="20"/>
          <w:lang w:val="en-US" w:eastAsia="ja-JP"/>
        </w:rPr>
      </w:pPr>
      <w:r>
        <w:rPr>
          <w:rFonts w:eastAsia="MS Mincho"/>
          <w:sz w:val="20"/>
          <w:lang w:val="en-US" w:eastAsia="ja-JP"/>
        </w:rPr>
        <w:t>Case 1: w</w:t>
      </w:r>
      <w:r w:rsidR="00694D7C" w:rsidRPr="00D03676">
        <w:rPr>
          <w:rFonts w:eastAsia="MS Mincho"/>
          <w:sz w:val="20"/>
          <w:lang w:val="en-US" w:eastAsia="ja-JP"/>
        </w:rPr>
        <w:t>hen the number of CBs in a TB is smaller than the indicated number of CBGs for an initial transmission</w:t>
      </w:r>
    </w:p>
    <w:p w14:paraId="5E617158" w14:textId="1DB00778" w:rsidR="00694D7C" w:rsidRPr="00D03676" w:rsidRDefault="00A6563D" w:rsidP="00694D7C">
      <w:pPr>
        <w:pStyle w:val="ListParagraph"/>
        <w:numPr>
          <w:ilvl w:val="0"/>
          <w:numId w:val="30"/>
        </w:numPr>
        <w:spacing w:after="120"/>
        <w:jc w:val="both"/>
        <w:rPr>
          <w:rFonts w:eastAsia="MS Mincho"/>
          <w:sz w:val="20"/>
          <w:lang w:val="en-US" w:eastAsia="ja-JP"/>
        </w:rPr>
      </w:pPr>
      <w:r>
        <w:rPr>
          <w:rFonts w:eastAsia="MS Mincho"/>
          <w:sz w:val="20"/>
          <w:lang w:val="en-US" w:eastAsia="ja-JP"/>
        </w:rPr>
        <w:t>Case 2:</w:t>
      </w:r>
      <w:r w:rsidR="00694D7C" w:rsidRPr="00D03676">
        <w:rPr>
          <w:rFonts w:eastAsia="MS Mincho"/>
          <w:sz w:val="20"/>
          <w:lang w:val="en-US" w:eastAsia="ja-JP"/>
        </w:rPr>
        <w:t xml:space="preserve"> retransmission, where only </w:t>
      </w:r>
      <w:r w:rsidR="00D03676" w:rsidRPr="00D03676">
        <w:rPr>
          <w:rFonts w:eastAsia="MS Mincho"/>
          <w:sz w:val="20"/>
          <w:lang w:val="en-US" w:eastAsia="ja-JP"/>
        </w:rPr>
        <w:t>some CBGs may be transmitted.</w:t>
      </w:r>
    </w:p>
    <w:p w14:paraId="4F606A6E" w14:textId="70DBF8CC" w:rsidR="00D03676" w:rsidRDefault="00D03676" w:rsidP="00694D7C">
      <w:pPr>
        <w:spacing w:after="120"/>
        <w:jc w:val="both"/>
        <w:rPr>
          <w:rFonts w:eastAsia="MS Mincho"/>
          <w:lang w:val="en-US" w:eastAsia="ja-JP"/>
        </w:rPr>
      </w:pPr>
      <w:r>
        <w:rPr>
          <w:rFonts w:eastAsia="MS Mincho"/>
          <w:lang w:val="en-US" w:eastAsia="ja-JP"/>
        </w:rPr>
        <w:t>The common understanding is that there is one HARQ-ACK feedback bit per CBG. So the necessary number of HARQ-ACK feedback bits is equal to the indicated number of CBGs except for the above two cases.</w:t>
      </w:r>
    </w:p>
    <w:p w14:paraId="5AD71BBB" w14:textId="04014A8E" w:rsidR="00D03676" w:rsidRDefault="00D03676" w:rsidP="003B3C64">
      <w:pPr>
        <w:spacing w:after="120"/>
        <w:jc w:val="both"/>
        <w:rPr>
          <w:rFonts w:eastAsia="MS Mincho"/>
          <w:lang w:val="en-US" w:eastAsia="ja-JP"/>
        </w:rPr>
      </w:pPr>
      <w:r>
        <w:rPr>
          <w:rFonts w:eastAsia="MS Mincho"/>
          <w:lang w:val="en-US" w:eastAsia="ja-JP"/>
        </w:rPr>
        <w:t xml:space="preserve">A natural question is </w:t>
      </w:r>
      <w:r w:rsidRPr="00D03676">
        <w:rPr>
          <w:rFonts w:eastAsia="MS Mincho"/>
          <w:b/>
          <w:lang w:val="en-US" w:eastAsia="ja-JP"/>
        </w:rPr>
        <w:t xml:space="preserve">whether a fixed or variable number of HARQ-ACK </w:t>
      </w:r>
      <w:r w:rsidR="001F0217" w:rsidRPr="00D03676">
        <w:rPr>
          <w:rFonts w:eastAsia="MS Mincho"/>
          <w:b/>
          <w:lang w:val="en-US" w:eastAsia="ja-JP"/>
        </w:rPr>
        <w:t>feedback bits per TB</w:t>
      </w:r>
      <w:r w:rsidRPr="00D03676">
        <w:rPr>
          <w:rFonts w:eastAsia="MS Mincho"/>
          <w:b/>
          <w:lang w:val="en-US" w:eastAsia="ja-JP"/>
        </w:rPr>
        <w:t xml:space="preserve"> should be supported to handle the above two cases</w:t>
      </w:r>
      <w:r>
        <w:rPr>
          <w:rFonts w:eastAsia="MS Mincho"/>
          <w:lang w:val="en-US" w:eastAsia="ja-JP"/>
        </w:rPr>
        <w:t>.</w:t>
      </w:r>
    </w:p>
    <w:p w14:paraId="226F40A5" w14:textId="322D3ADC" w:rsidR="0016009B" w:rsidRDefault="00132E7C" w:rsidP="003B3C64">
      <w:pPr>
        <w:spacing w:after="120"/>
        <w:jc w:val="both"/>
        <w:rPr>
          <w:rFonts w:eastAsia="MS Mincho"/>
          <w:lang w:val="en-US" w:eastAsia="ja-JP"/>
        </w:rPr>
      </w:pPr>
      <w:r>
        <w:rPr>
          <w:rFonts w:eastAsia="MS Mincho"/>
          <w:lang w:val="en-US" w:eastAsia="ja-JP"/>
        </w:rPr>
        <w:t xml:space="preserve">It has been agreed in RAN1#88bis that </w:t>
      </w:r>
      <w:r w:rsidRPr="00132E7C">
        <w:rPr>
          <w:rFonts w:eastAsia="MS Mincho"/>
          <w:lang w:val="en-US" w:eastAsia="ja-JP"/>
        </w:rPr>
        <w:t>HARQ-ACK multiplexing for multiple PDSCHs of one or more carriers is supported.</w:t>
      </w:r>
      <w:r>
        <w:rPr>
          <w:rFonts w:eastAsia="MS Mincho"/>
          <w:lang w:val="en-US" w:eastAsia="ja-JP"/>
        </w:rPr>
        <w:t xml:space="preserve"> As discussed in our </w:t>
      </w:r>
      <w:r w:rsidRPr="00B52419">
        <w:rPr>
          <w:rFonts w:eastAsia="MS Mincho"/>
          <w:lang w:val="en-US" w:eastAsia="ja-JP"/>
        </w:rPr>
        <w:t>companion contribution [</w:t>
      </w:r>
      <w:r w:rsidR="00D03676">
        <w:rPr>
          <w:rFonts w:eastAsia="MS Mincho"/>
          <w:lang w:val="en-US" w:eastAsia="ja-JP"/>
        </w:rPr>
        <w:t>1</w:t>
      </w:r>
      <w:r w:rsidRPr="00B52419">
        <w:rPr>
          <w:rFonts w:eastAsia="MS Mincho"/>
          <w:lang w:val="en-US" w:eastAsia="ja-JP"/>
        </w:rPr>
        <w:t>], it becomes necessary to support</w:t>
      </w:r>
      <w:r>
        <w:rPr>
          <w:rFonts w:eastAsia="MS Mincho"/>
          <w:lang w:val="en-US" w:eastAsia="ja-JP"/>
        </w:rPr>
        <w:t xml:space="preserve"> dynamic DL association set and HARQ-ACK codebook size when the HARQ-ACK</w:t>
      </w:r>
      <w:r w:rsidR="00BD71A1">
        <w:rPr>
          <w:rFonts w:eastAsia="MS Mincho"/>
          <w:lang w:val="en-US" w:eastAsia="ja-JP"/>
        </w:rPr>
        <w:t xml:space="preserve"> timing</w:t>
      </w:r>
      <w:r>
        <w:rPr>
          <w:rFonts w:eastAsia="MS Mincho"/>
          <w:lang w:val="en-US" w:eastAsia="ja-JP"/>
        </w:rPr>
        <w:t xml:space="preserve"> is dynamically indicated</w:t>
      </w:r>
      <w:r w:rsidR="00A16952">
        <w:rPr>
          <w:rFonts w:eastAsia="MS Mincho"/>
          <w:lang w:val="en-US" w:eastAsia="ja-JP"/>
        </w:rPr>
        <w:t xml:space="preserve"> in dynamic TDD operation</w:t>
      </w:r>
      <w:r>
        <w:rPr>
          <w:rFonts w:eastAsia="MS Mincho"/>
          <w:lang w:val="en-US" w:eastAsia="ja-JP"/>
        </w:rPr>
        <w:t xml:space="preserve">. Correspondingly, mechanisms are necessary to handle error cases when one or more DL assignments are not successfully received. In LTE, DAI has been used for error case handling. When </w:t>
      </w:r>
      <w:r w:rsidR="008F505A">
        <w:rPr>
          <w:rFonts w:eastAsia="MS Mincho"/>
          <w:lang w:val="en-US" w:eastAsia="ja-JP"/>
        </w:rPr>
        <w:t xml:space="preserve">the number of HARQ-ACK bits per TB is variable, larger range of variation would require more states for DAI (i.e. larger overhead in DCI) to avoid ambiguity. </w:t>
      </w:r>
      <w:r w:rsidR="00D03676">
        <w:rPr>
          <w:rFonts w:eastAsia="MS Mincho"/>
          <w:lang w:val="en-US" w:eastAsia="ja-JP"/>
        </w:rPr>
        <w:t>For example, assuming 8 CBGs are configured,</w:t>
      </w:r>
      <w:r w:rsidR="0016009B">
        <w:rPr>
          <w:rFonts w:eastAsia="MS Mincho"/>
          <w:lang w:val="en-US" w:eastAsia="ja-JP"/>
        </w:rPr>
        <w:t xml:space="preserve"> the number of HARQ-ACK feedback bits per TB can vary from 1 to 8 bits. Assuming DAI is design</w:t>
      </w:r>
      <w:r w:rsidR="00EC082C">
        <w:rPr>
          <w:rFonts w:eastAsia="MS Mincho"/>
          <w:lang w:val="en-US" w:eastAsia="ja-JP"/>
        </w:rPr>
        <w:t>ed</w:t>
      </w:r>
      <w:r w:rsidR="0016009B">
        <w:rPr>
          <w:rFonts w:eastAsia="MS Mincho"/>
          <w:lang w:val="en-US" w:eastAsia="ja-JP"/>
        </w:rPr>
        <w:t xml:space="preserve"> to handle up to 2 back-to-back missing DL assignments, the number of states that DAI needs to support is 8*(2+1) = 24 states, i.e. 5 bits.</w:t>
      </w:r>
      <w:r w:rsidR="00D03676">
        <w:rPr>
          <w:rFonts w:eastAsia="MS Mincho"/>
          <w:lang w:val="en-US" w:eastAsia="ja-JP"/>
        </w:rPr>
        <w:t xml:space="preserve"> </w:t>
      </w:r>
      <w:r w:rsidR="0016009B">
        <w:rPr>
          <w:rFonts w:eastAsia="MS Mincho"/>
          <w:lang w:val="en-US" w:eastAsia="ja-JP"/>
        </w:rPr>
        <w:t>On the other hand, if we assume fixed HARQ-ACK feedback bits per TB, DAI only needs t</w:t>
      </w:r>
      <w:r w:rsidR="00EC082C">
        <w:rPr>
          <w:rFonts w:eastAsia="MS Mincho"/>
          <w:lang w:val="en-US" w:eastAsia="ja-JP"/>
        </w:rPr>
        <w:t>o support 3 states, i.e. 2 bits, which saves 3 bits in DCI. If we consider both counter DAI and total DAI, the saving would be doubled.</w:t>
      </w:r>
      <w:r w:rsidR="00DA4B72">
        <w:rPr>
          <w:rFonts w:eastAsia="MS Mincho"/>
          <w:lang w:val="en-US" w:eastAsia="ja-JP"/>
        </w:rPr>
        <w:t xml:space="preserve"> This example assumes a single TB per slot. If there are up to two TBs scheduled per slot</w:t>
      </w:r>
      <w:r w:rsidR="000839FB">
        <w:rPr>
          <w:rFonts w:eastAsia="MS Mincho"/>
          <w:lang w:val="en-US" w:eastAsia="ja-JP"/>
        </w:rPr>
        <w:t>, and/or if carrier aggregation is considered</w:t>
      </w:r>
      <w:r w:rsidR="00DA4B72">
        <w:rPr>
          <w:rFonts w:eastAsia="MS Mincho"/>
          <w:lang w:val="en-US" w:eastAsia="ja-JP"/>
        </w:rPr>
        <w:t>, the overhead would be even larger.</w:t>
      </w:r>
    </w:p>
    <w:p w14:paraId="17E03623" w14:textId="706A846F" w:rsidR="009D1C90" w:rsidRDefault="008F505A" w:rsidP="003B3C64">
      <w:pPr>
        <w:spacing w:after="120"/>
        <w:jc w:val="both"/>
        <w:rPr>
          <w:rFonts w:eastAsia="MS Mincho"/>
          <w:lang w:val="en-US" w:eastAsia="ja-JP"/>
        </w:rPr>
      </w:pPr>
      <w:r>
        <w:rPr>
          <w:rFonts w:eastAsia="MS Mincho"/>
          <w:lang w:val="en-US" w:eastAsia="ja-JP"/>
        </w:rPr>
        <w:t xml:space="preserve">Even though it has not been discussed in NR whether </w:t>
      </w:r>
      <w:r w:rsidR="00EC082C">
        <w:rPr>
          <w:rFonts w:eastAsia="MS Mincho"/>
          <w:lang w:val="en-US" w:eastAsia="ja-JP"/>
        </w:rPr>
        <w:t>the</w:t>
      </w:r>
      <w:r>
        <w:rPr>
          <w:rFonts w:eastAsia="MS Mincho"/>
          <w:lang w:val="en-US" w:eastAsia="ja-JP"/>
        </w:rPr>
        <w:t xml:space="preserve"> </w:t>
      </w:r>
      <w:r w:rsidR="00EC082C">
        <w:rPr>
          <w:rFonts w:eastAsia="MS Mincho"/>
          <w:lang w:val="en-US" w:eastAsia="ja-JP"/>
        </w:rPr>
        <w:t>same/</w:t>
      </w:r>
      <w:r>
        <w:rPr>
          <w:rFonts w:eastAsia="MS Mincho"/>
          <w:lang w:val="en-US" w:eastAsia="ja-JP"/>
        </w:rPr>
        <w:t>similar mechanism would be used</w:t>
      </w:r>
      <w:r w:rsidR="00EC082C">
        <w:rPr>
          <w:rFonts w:eastAsia="MS Mincho"/>
          <w:lang w:val="en-US" w:eastAsia="ja-JP"/>
        </w:rPr>
        <w:t xml:space="preserve"> to handle the missed DL assignments</w:t>
      </w:r>
      <w:r>
        <w:rPr>
          <w:rFonts w:eastAsia="MS Mincho"/>
          <w:lang w:val="en-US" w:eastAsia="ja-JP"/>
        </w:rPr>
        <w:t>, it is generally expected that a variable size would be more complicated to handle, especially if the maximum size is not a small value</w:t>
      </w:r>
      <w:r w:rsidR="0016009B">
        <w:rPr>
          <w:rFonts w:eastAsia="MS Mincho"/>
          <w:lang w:val="en-US" w:eastAsia="ja-JP"/>
        </w:rPr>
        <w:t xml:space="preserve"> (which is true in case of CBG-based transmission)</w:t>
      </w:r>
      <w:r>
        <w:rPr>
          <w:rFonts w:eastAsia="MS Mincho"/>
          <w:lang w:val="en-US" w:eastAsia="ja-JP"/>
        </w:rPr>
        <w:t>. So from this perspective, fixed number of HARQ-ACK feedback bits per TB has its advantage</w:t>
      </w:r>
      <w:r w:rsidR="0016009B">
        <w:rPr>
          <w:rFonts w:eastAsia="MS Mincho"/>
          <w:lang w:val="en-US" w:eastAsia="ja-JP"/>
        </w:rPr>
        <w:t xml:space="preserve"> in reducing DCI size</w:t>
      </w:r>
      <w:r>
        <w:rPr>
          <w:rFonts w:eastAsia="MS Mincho"/>
          <w:lang w:val="en-US" w:eastAsia="ja-JP"/>
        </w:rPr>
        <w:t>.</w:t>
      </w:r>
    </w:p>
    <w:p w14:paraId="41679B06" w14:textId="518B3DE7" w:rsidR="00EC082C" w:rsidRDefault="00EC082C" w:rsidP="003B3C64">
      <w:pPr>
        <w:spacing w:after="120"/>
        <w:jc w:val="both"/>
        <w:rPr>
          <w:rFonts w:eastAsia="MS Mincho"/>
          <w:lang w:val="en-US" w:eastAsia="ja-JP"/>
        </w:rPr>
      </w:pPr>
      <w:r>
        <w:rPr>
          <w:rFonts w:eastAsia="MS Mincho"/>
          <w:lang w:val="en-US" w:eastAsia="ja-JP"/>
        </w:rPr>
        <w:t>The potential drawbacks associated with fixed HARQ-ACK feedback per TB include:</w:t>
      </w:r>
    </w:p>
    <w:p w14:paraId="2FAB0346" w14:textId="25170A5A" w:rsidR="009D1C90" w:rsidRDefault="009D1C90" w:rsidP="008F505A">
      <w:pPr>
        <w:numPr>
          <w:ilvl w:val="0"/>
          <w:numId w:val="24"/>
        </w:numPr>
        <w:overflowPunct/>
        <w:autoSpaceDE/>
        <w:autoSpaceDN/>
        <w:adjustRightInd/>
        <w:spacing w:after="0"/>
        <w:textAlignment w:val="auto"/>
        <w:rPr>
          <w:rFonts w:eastAsia="Times New Roman"/>
        </w:rPr>
      </w:pPr>
      <w:r>
        <w:rPr>
          <w:rFonts w:eastAsia="Times New Roman"/>
        </w:rPr>
        <w:t xml:space="preserve">There may be some unused bits in </w:t>
      </w:r>
      <w:r w:rsidR="00EC082C">
        <w:rPr>
          <w:rFonts w:eastAsia="Times New Roman"/>
        </w:rPr>
        <w:t>the two cases above</w:t>
      </w:r>
      <w:r w:rsidR="00364B24">
        <w:rPr>
          <w:rFonts w:eastAsia="Times New Roman"/>
        </w:rPr>
        <w:t>. This may be considered as</w:t>
      </w:r>
      <w:r>
        <w:rPr>
          <w:rFonts w:eastAsia="Times New Roman"/>
        </w:rPr>
        <w:t xml:space="preserve"> unnecessary overhead</w:t>
      </w:r>
      <w:r w:rsidR="00364B24">
        <w:rPr>
          <w:rFonts w:eastAsia="Times New Roman"/>
        </w:rPr>
        <w:t>.</w:t>
      </w:r>
    </w:p>
    <w:p w14:paraId="4EA94FB3" w14:textId="1CAC20D5" w:rsidR="009D1C90" w:rsidRDefault="009D1C90" w:rsidP="008F505A">
      <w:pPr>
        <w:numPr>
          <w:ilvl w:val="1"/>
          <w:numId w:val="24"/>
        </w:numPr>
        <w:overflowPunct/>
        <w:autoSpaceDE/>
        <w:autoSpaceDN/>
        <w:adjustRightInd/>
        <w:spacing w:after="0"/>
        <w:textAlignment w:val="auto"/>
        <w:rPr>
          <w:rFonts w:eastAsia="Times New Roman"/>
        </w:rPr>
      </w:pPr>
      <w:r>
        <w:rPr>
          <w:rFonts w:eastAsia="Times New Roman"/>
        </w:rPr>
        <w:t xml:space="preserve">However, if the </w:t>
      </w:r>
      <w:r w:rsidR="00EC082C">
        <w:rPr>
          <w:rFonts w:eastAsia="Times New Roman"/>
        </w:rPr>
        <w:t>values</w:t>
      </w:r>
      <w:r>
        <w:rPr>
          <w:rFonts w:eastAsia="Times New Roman"/>
        </w:rPr>
        <w:t xml:space="preserve"> are predefined for these unused bits</w:t>
      </w:r>
      <w:r w:rsidR="00EC082C">
        <w:rPr>
          <w:rFonts w:eastAsia="Times New Roman"/>
        </w:rPr>
        <w:t xml:space="preserve"> (e.g. always ‘0’ or always ‘1’)</w:t>
      </w:r>
      <w:r>
        <w:rPr>
          <w:rFonts w:eastAsia="Times New Roman"/>
        </w:rPr>
        <w:t xml:space="preserve">, the decoder can use the </w:t>
      </w:r>
      <w:r w:rsidR="00364B24">
        <w:rPr>
          <w:rFonts w:eastAsia="Times New Roman"/>
        </w:rPr>
        <w:t xml:space="preserve">a priori </w:t>
      </w:r>
      <w:r>
        <w:rPr>
          <w:rFonts w:eastAsia="Times New Roman"/>
        </w:rPr>
        <w:t xml:space="preserve">info </w:t>
      </w:r>
      <w:r w:rsidR="00364B24">
        <w:rPr>
          <w:rFonts w:eastAsia="Times New Roman"/>
        </w:rPr>
        <w:t xml:space="preserve">in decoding, and the </w:t>
      </w:r>
      <w:r>
        <w:rPr>
          <w:rFonts w:eastAsia="Times New Roman"/>
        </w:rPr>
        <w:t>performance should not be affected much.</w:t>
      </w:r>
    </w:p>
    <w:p w14:paraId="235E988E" w14:textId="77777777" w:rsidR="00EC082C" w:rsidRDefault="00364B24" w:rsidP="00EC082C">
      <w:pPr>
        <w:numPr>
          <w:ilvl w:val="0"/>
          <w:numId w:val="24"/>
        </w:numPr>
        <w:overflowPunct/>
        <w:autoSpaceDE/>
        <w:autoSpaceDN/>
        <w:adjustRightInd/>
        <w:spacing w:after="0"/>
        <w:textAlignment w:val="auto"/>
        <w:rPr>
          <w:rFonts w:eastAsia="Times New Roman"/>
        </w:rPr>
      </w:pPr>
      <w:r>
        <w:rPr>
          <w:rFonts w:eastAsia="Times New Roman"/>
        </w:rPr>
        <w:t>I</w:t>
      </w:r>
      <w:r w:rsidR="009D1C90">
        <w:rPr>
          <w:rFonts w:eastAsia="Times New Roman"/>
        </w:rPr>
        <w:t xml:space="preserve">t </w:t>
      </w:r>
      <w:r>
        <w:rPr>
          <w:rFonts w:eastAsia="Times New Roman"/>
        </w:rPr>
        <w:t xml:space="preserve">sometimes </w:t>
      </w:r>
      <w:r w:rsidR="009D1C90">
        <w:rPr>
          <w:rFonts w:eastAsia="Times New Roman"/>
        </w:rPr>
        <w:t>may need a larger</w:t>
      </w:r>
      <w:r>
        <w:rPr>
          <w:rFonts w:eastAsia="Times New Roman"/>
        </w:rPr>
        <w:t xml:space="preserve"> PUCCH container than necessary</w:t>
      </w:r>
      <w:r w:rsidR="00EC082C">
        <w:rPr>
          <w:rFonts w:eastAsia="Times New Roman"/>
        </w:rPr>
        <w:t>, but whether this is an issue depending on how the gNB configures the PUCCH resources</w:t>
      </w:r>
      <w:r>
        <w:rPr>
          <w:rFonts w:eastAsia="Times New Roman"/>
        </w:rPr>
        <w:t>.</w:t>
      </w:r>
    </w:p>
    <w:p w14:paraId="50635381" w14:textId="179F1C13" w:rsidR="009D1C90" w:rsidRDefault="00EC082C" w:rsidP="00EC082C">
      <w:pPr>
        <w:numPr>
          <w:ilvl w:val="1"/>
          <w:numId w:val="24"/>
        </w:numPr>
        <w:overflowPunct/>
        <w:autoSpaceDE/>
        <w:autoSpaceDN/>
        <w:adjustRightInd/>
        <w:spacing w:after="0"/>
        <w:textAlignment w:val="auto"/>
        <w:rPr>
          <w:rFonts w:eastAsia="Times New Roman"/>
        </w:rPr>
      </w:pPr>
      <w:r>
        <w:rPr>
          <w:rFonts w:eastAsia="Times New Roman"/>
        </w:rPr>
        <w:t>If</w:t>
      </w:r>
      <w:r w:rsidR="00364B24">
        <w:rPr>
          <w:rFonts w:eastAsia="Times New Roman"/>
        </w:rPr>
        <w:t xml:space="preserve"> the container and PUCCH resource</w:t>
      </w:r>
      <w:r>
        <w:rPr>
          <w:rFonts w:eastAsia="Times New Roman"/>
        </w:rPr>
        <w:t>s</w:t>
      </w:r>
      <w:r w:rsidR="00364B24">
        <w:rPr>
          <w:rFonts w:eastAsia="Times New Roman"/>
        </w:rPr>
        <w:t xml:space="preserve"> </w:t>
      </w:r>
      <w:r>
        <w:rPr>
          <w:rFonts w:eastAsia="Times New Roman"/>
        </w:rPr>
        <w:t>are</w:t>
      </w:r>
      <w:r w:rsidR="00364B24">
        <w:rPr>
          <w:rFonts w:eastAsia="Times New Roman"/>
        </w:rPr>
        <w:t xml:space="preserve"> configured according to the worst case scenario</w:t>
      </w:r>
      <w:r>
        <w:rPr>
          <w:rFonts w:eastAsia="Times New Roman"/>
        </w:rPr>
        <w:t xml:space="preserve"> (i.e. the largest possible payload size)</w:t>
      </w:r>
      <w:r w:rsidR="00364B24">
        <w:rPr>
          <w:rFonts w:eastAsia="Times New Roman"/>
        </w:rPr>
        <w:t xml:space="preserve">, </w:t>
      </w:r>
      <w:r>
        <w:rPr>
          <w:rFonts w:eastAsia="Times New Roman"/>
        </w:rPr>
        <w:t>this w</w:t>
      </w:r>
      <w:r w:rsidR="00364B24">
        <w:rPr>
          <w:rFonts w:eastAsia="Times New Roman"/>
        </w:rPr>
        <w:t>hould not be an issue.</w:t>
      </w:r>
    </w:p>
    <w:p w14:paraId="4E04C7D0" w14:textId="5C2DBCA2" w:rsidR="00EC082C" w:rsidRDefault="00EC082C" w:rsidP="00EC082C">
      <w:pPr>
        <w:numPr>
          <w:ilvl w:val="1"/>
          <w:numId w:val="24"/>
        </w:numPr>
        <w:overflowPunct/>
        <w:autoSpaceDE/>
        <w:autoSpaceDN/>
        <w:adjustRightInd/>
        <w:spacing w:after="0"/>
        <w:textAlignment w:val="auto"/>
        <w:rPr>
          <w:rFonts w:eastAsia="Times New Roman"/>
        </w:rPr>
      </w:pPr>
      <w:r>
        <w:rPr>
          <w:rFonts w:eastAsia="Times New Roman"/>
        </w:rPr>
        <w:t>If the gNB would like to indicate the proper PUCCH resource dynamically based on the expected payload size each time, it implies that more PUCCH resources with various supported payload sizes need to be configured in advance, and the gNB would indicate one of these. This again means more overhead in DCI for PUCCH resource indication.</w:t>
      </w:r>
    </w:p>
    <w:p w14:paraId="61AA8830" w14:textId="74A08D98" w:rsidR="00EC082C" w:rsidRDefault="00EC082C" w:rsidP="00EC082C">
      <w:pPr>
        <w:numPr>
          <w:ilvl w:val="1"/>
          <w:numId w:val="24"/>
        </w:numPr>
        <w:overflowPunct/>
        <w:autoSpaceDE/>
        <w:autoSpaceDN/>
        <w:adjustRightInd/>
        <w:spacing w:after="0"/>
        <w:textAlignment w:val="auto"/>
        <w:rPr>
          <w:rFonts w:eastAsia="Times New Roman"/>
        </w:rPr>
      </w:pPr>
      <w:r>
        <w:rPr>
          <w:rFonts w:eastAsia="Times New Roman"/>
        </w:rPr>
        <w:t xml:space="preserve">The granularity of the supported payload size of </w:t>
      </w:r>
      <w:r w:rsidR="00DA4B72">
        <w:rPr>
          <w:rFonts w:eastAsia="Times New Roman"/>
        </w:rPr>
        <w:t>PUCCH formats is rather coarse, so the gain from dynamic change in the container size could be limited.</w:t>
      </w:r>
    </w:p>
    <w:p w14:paraId="2D6A4295" w14:textId="5E453E70" w:rsidR="009D1C90" w:rsidRDefault="009D1C90" w:rsidP="003B3C64">
      <w:pPr>
        <w:spacing w:after="120"/>
        <w:jc w:val="both"/>
        <w:rPr>
          <w:rFonts w:eastAsia="MS Mincho"/>
          <w:lang w:eastAsia="ja-JP"/>
        </w:rPr>
      </w:pPr>
    </w:p>
    <w:p w14:paraId="21794500" w14:textId="0B55D661" w:rsidR="00A6563D" w:rsidRDefault="00A6563D" w:rsidP="003B3C64">
      <w:pPr>
        <w:spacing w:after="120"/>
        <w:jc w:val="both"/>
        <w:rPr>
          <w:rFonts w:eastAsia="MS Mincho"/>
          <w:lang w:eastAsia="ja-JP"/>
        </w:rPr>
      </w:pPr>
      <w:r>
        <w:rPr>
          <w:rFonts w:eastAsia="MS Mincho"/>
          <w:lang w:eastAsia="ja-JP"/>
        </w:rPr>
        <w:t xml:space="preserve">Given these discussions, we think it is reasonable to </w:t>
      </w:r>
      <w:r w:rsidR="00112A4D">
        <w:rPr>
          <w:rFonts w:eastAsia="MS Mincho"/>
          <w:lang w:eastAsia="ja-JP"/>
        </w:rPr>
        <w:t xml:space="preserve">at least support </w:t>
      </w:r>
      <w:r>
        <w:rPr>
          <w:rFonts w:eastAsia="MS Mincho"/>
          <w:lang w:eastAsia="ja-JP"/>
        </w:rPr>
        <w:t>fixed HARQ-ACK feedback size per TB</w:t>
      </w:r>
      <w:r w:rsidR="00112A4D">
        <w:rPr>
          <w:rFonts w:eastAsia="MS Mincho"/>
          <w:lang w:eastAsia="ja-JP"/>
        </w:rPr>
        <w:t>.</w:t>
      </w:r>
      <w:r>
        <w:rPr>
          <w:rFonts w:eastAsia="MS Mincho"/>
          <w:lang w:eastAsia="ja-JP"/>
        </w:rPr>
        <w:t xml:space="preserve"> </w:t>
      </w:r>
      <w:r w:rsidR="00112A4D">
        <w:rPr>
          <w:rFonts w:eastAsia="MS Mincho"/>
          <w:lang w:eastAsia="ja-JP"/>
        </w:rPr>
        <w:t>M</w:t>
      </w:r>
      <w:r>
        <w:rPr>
          <w:rFonts w:eastAsia="MS Mincho"/>
          <w:lang w:eastAsia="ja-JP"/>
        </w:rPr>
        <w:t>ore efficient ways of handling the error cases can be further investigated</w:t>
      </w:r>
      <w:r w:rsidR="00112A4D">
        <w:rPr>
          <w:rFonts w:eastAsia="MS Mincho"/>
          <w:lang w:eastAsia="ja-JP"/>
        </w:rPr>
        <w:t xml:space="preserve">, together with the general discussion of HARQ-ACK feedback determination for multiple </w:t>
      </w:r>
      <w:r w:rsidR="00112A4D" w:rsidRPr="00B70EBB">
        <w:rPr>
          <w:rFonts w:eastAsia="MS Mincho"/>
          <w:lang w:eastAsia="ja-JP"/>
        </w:rPr>
        <w:t xml:space="preserve">PDSCH </w:t>
      </w:r>
      <w:r w:rsidR="00B70EBB" w:rsidRPr="00AE4297">
        <w:rPr>
          <w:rFonts w:eastAsia="MS Mincho"/>
          <w:lang w:eastAsia="ja-JP"/>
        </w:rPr>
        <w:t>[1]</w:t>
      </w:r>
      <w:r w:rsidR="00B70EBB" w:rsidRPr="00B70EBB" w:rsidDel="00B70EBB">
        <w:rPr>
          <w:rFonts w:eastAsia="MS Mincho"/>
          <w:lang w:eastAsia="ja-JP"/>
        </w:rPr>
        <w:t xml:space="preserve"> </w:t>
      </w:r>
      <w:r w:rsidR="00112A4D" w:rsidRPr="00B70EBB">
        <w:rPr>
          <w:rFonts w:eastAsia="MS Mincho"/>
          <w:lang w:eastAsia="ja-JP"/>
        </w:rPr>
        <w:t>an</w:t>
      </w:r>
      <w:r w:rsidR="00112A4D">
        <w:rPr>
          <w:rFonts w:eastAsia="MS Mincho"/>
          <w:lang w:eastAsia="ja-JP"/>
        </w:rPr>
        <w:t>d CA</w:t>
      </w:r>
      <w:r w:rsidR="00B70EBB">
        <w:rPr>
          <w:rFonts w:eastAsia="MS Mincho"/>
          <w:lang w:eastAsia="ja-JP"/>
        </w:rPr>
        <w:t xml:space="preserve"> [2]</w:t>
      </w:r>
      <w:r>
        <w:rPr>
          <w:rFonts w:eastAsia="MS Mincho"/>
          <w:lang w:eastAsia="ja-JP"/>
        </w:rPr>
        <w:t>.</w:t>
      </w:r>
    </w:p>
    <w:p w14:paraId="4556B6A3" w14:textId="6F4F4507" w:rsidR="000306E6" w:rsidRPr="000306E6" w:rsidRDefault="00595C2C" w:rsidP="000306E6">
      <w:pPr>
        <w:rPr>
          <w:i/>
        </w:rPr>
      </w:pPr>
      <w:r w:rsidRPr="00595C2C">
        <w:rPr>
          <w:b/>
          <w:i/>
        </w:rPr>
        <w:t>Proposal 1:</w:t>
      </w:r>
      <w:r w:rsidRPr="00595C2C">
        <w:rPr>
          <w:i/>
        </w:rPr>
        <w:t xml:space="preserve"> </w:t>
      </w:r>
      <w:r w:rsidR="00A6563D">
        <w:rPr>
          <w:i/>
        </w:rPr>
        <w:t xml:space="preserve">For CBG-based (re-)transmissions, fixed HARQ-ACK feedback size per TB (equal to the indicated number of CBGs) </w:t>
      </w:r>
      <w:r w:rsidR="000E2A65">
        <w:rPr>
          <w:i/>
        </w:rPr>
        <w:t>is supported</w:t>
      </w:r>
      <w:r w:rsidR="00A6563D">
        <w:rPr>
          <w:i/>
        </w:rPr>
        <w:t>.</w:t>
      </w:r>
      <w:r w:rsidR="000E2A65">
        <w:rPr>
          <w:i/>
        </w:rPr>
        <w:t xml:space="preserve"> FFS dynamic HARQ-ACK feedback size</w:t>
      </w:r>
      <w:r w:rsidR="00AF3878">
        <w:rPr>
          <w:i/>
        </w:rPr>
        <w:t xml:space="preserve"> per TB</w:t>
      </w:r>
      <w:r w:rsidR="000E2A65">
        <w:rPr>
          <w:i/>
        </w:rPr>
        <w:t>.</w:t>
      </w:r>
    </w:p>
    <w:p w14:paraId="30E029DD" w14:textId="116A7D3E" w:rsidR="0034111C" w:rsidRPr="00A51522" w:rsidRDefault="000306E6">
      <w:pPr>
        <w:pStyle w:val="Heading1"/>
        <w:rPr>
          <w:color w:val="000000"/>
        </w:rPr>
      </w:pPr>
      <w:r>
        <w:rPr>
          <w:color w:val="000000"/>
        </w:rPr>
        <w:lastRenderedPageBreak/>
        <w:t>4</w:t>
      </w:r>
      <w:r w:rsidR="0034111C" w:rsidRPr="00A51522">
        <w:rPr>
          <w:color w:val="000000"/>
        </w:rPr>
        <w:tab/>
      </w:r>
      <w:r w:rsidR="00EE7FA7" w:rsidRPr="00A51522">
        <w:rPr>
          <w:color w:val="000000"/>
        </w:rPr>
        <w:t>Conclusion</w:t>
      </w:r>
    </w:p>
    <w:p w14:paraId="30E029DE" w14:textId="15398ECF" w:rsidR="00731B79" w:rsidRDefault="003D3FBA" w:rsidP="003B3C64">
      <w:pPr>
        <w:jc w:val="both"/>
        <w:rPr>
          <w:bCs/>
        </w:rPr>
      </w:pPr>
      <w:r w:rsidRPr="00A51522">
        <w:t xml:space="preserve">In this </w:t>
      </w:r>
      <w:r w:rsidR="00986146" w:rsidRPr="00A51522">
        <w:t>contribution,</w:t>
      </w:r>
      <w:r w:rsidRPr="00A51522">
        <w:t xml:space="preserve"> we have discussed </w:t>
      </w:r>
      <w:r w:rsidR="00A6563D">
        <w:t>HARQ-ACK feedback</w:t>
      </w:r>
      <w:r w:rsidR="0053614D">
        <w:t xml:space="preserve"> related to CBG-based (re-) transmissions,</w:t>
      </w:r>
      <w:r w:rsidR="00A6563D">
        <w:t xml:space="preserve"> with the following proposal</w:t>
      </w:r>
      <w:r w:rsidR="00342AD2" w:rsidRPr="006A1BEB">
        <w:rPr>
          <w:bCs/>
        </w:rPr>
        <w:t>:</w:t>
      </w:r>
    </w:p>
    <w:p w14:paraId="65CA7814" w14:textId="77777777" w:rsidR="000E2A65" w:rsidRPr="000306E6" w:rsidRDefault="000E2A65" w:rsidP="000E2A65">
      <w:pPr>
        <w:rPr>
          <w:i/>
        </w:rPr>
      </w:pPr>
      <w:r w:rsidRPr="00595C2C">
        <w:rPr>
          <w:b/>
          <w:i/>
        </w:rPr>
        <w:t>Proposal 1:</w:t>
      </w:r>
      <w:r w:rsidRPr="00595C2C">
        <w:rPr>
          <w:i/>
        </w:rPr>
        <w:t xml:space="preserve"> </w:t>
      </w:r>
      <w:r>
        <w:rPr>
          <w:i/>
        </w:rPr>
        <w:t>For CBG-based (re-)transmissions, fixed HARQ-ACK feedback size per TB (equal to the indicated number of CBGs) is supported. FFS dynamic HARQ-ACK feedback size.</w:t>
      </w:r>
    </w:p>
    <w:p w14:paraId="30E029F2" w14:textId="669531D3" w:rsidR="0034111C" w:rsidRPr="00521425" w:rsidRDefault="0034111C">
      <w:pPr>
        <w:pStyle w:val="Heading1"/>
      </w:pPr>
      <w:r w:rsidRPr="00521425">
        <w:t>References</w:t>
      </w:r>
    </w:p>
    <w:p w14:paraId="2CCC20DF" w14:textId="6E5B16DD" w:rsidR="0081067F" w:rsidRDefault="00ED58A7" w:rsidP="0081067F">
      <w:pPr>
        <w:pStyle w:val="NormalWeb"/>
        <w:numPr>
          <w:ilvl w:val="0"/>
          <w:numId w:val="1"/>
        </w:numPr>
        <w:spacing w:before="0" w:beforeAutospacing="0" w:after="120" w:afterAutospacing="0"/>
        <w:rPr>
          <w:sz w:val="20"/>
          <w:szCs w:val="22"/>
        </w:rPr>
      </w:pPr>
      <w:r w:rsidRPr="00ED58A7">
        <w:rPr>
          <w:sz w:val="20"/>
          <w:szCs w:val="22"/>
        </w:rPr>
        <w:t>R1-1</w:t>
      </w:r>
      <w:r w:rsidRPr="00A16952">
        <w:rPr>
          <w:sz w:val="20"/>
          <w:szCs w:val="22"/>
        </w:rPr>
        <w:t>7</w:t>
      </w:r>
      <w:r w:rsidR="00A16952" w:rsidRPr="00A16952">
        <w:rPr>
          <w:sz w:val="20"/>
          <w:szCs w:val="22"/>
        </w:rPr>
        <w:t>1</w:t>
      </w:r>
      <w:r w:rsidR="00AF3878">
        <w:rPr>
          <w:sz w:val="20"/>
          <w:szCs w:val="22"/>
        </w:rPr>
        <w:t>4016</w:t>
      </w:r>
      <w:r w:rsidR="0081067F" w:rsidRPr="00ED58A7">
        <w:rPr>
          <w:sz w:val="20"/>
          <w:szCs w:val="22"/>
        </w:rPr>
        <w:t xml:space="preserve">, “On HARQ feedback determination”, Nokia, </w:t>
      </w:r>
      <w:r w:rsidR="00C62153">
        <w:rPr>
          <w:sz w:val="20"/>
          <w:szCs w:val="22"/>
        </w:rPr>
        <w:t>Nokia</w:t>
      </w:r>
      <w:r w:rsidR="00D03676">
        <w:rPr>
          <w:sz w:val="20"/>
          <w:szCs w:val="22"/>
        </w:rPr>
        <w:t xml:space="preserve"> Shanghai Bell, RAN1#</w:t>
      </w:r>
      <w:r w:rsidR="00C62153">
        <w:rPr>
          <w:sz w:val="20"/>
          <w:szCs w:val="22"/>
        </w:rPr>
        <w:t>90</w:t>
      </w:r>
      <w:r w:rsidR="0081067F" w:rsidRPr="00ED58A7">
        <w:rPr>
          <w:sz w:val="20"/>
          <w:szCs w:val="22"/>
        </w:rPr>
        <w:t xml:space="preserve">, </w:t>
      </w:r>
      <w:r w:rsidR="00C62153">
        <w:rPr>
          <w:sz w:val="20"/>
          <w:szCs w:val="22"/>
        </w:rPr>
        <w:t>Aug.</w:t>
      </w:r>
      <w:r w:rsidR="00C62153" w:rsidRPr="00ED58A7">
        <w:rPr>
          <w:sz w:val="20"/>
          <w:szCs w:val="22"/>
        </w:rPr>
        <w:t xml:space="preserve"> </w:t>
      </w:r>
      <w:r w:rsidR="0081067F" w:rsidRPr="00ED58A7">
        <w:rPr>
          <w:sz w:val="20"/>
          <w:szCs w:val="22"/>
        </w:rPr>
        <w:t>2017.</w:t>
      </w:r>
    </w:p>
    <w:p w14:paraId="0D5D2D0B" w14:textId="37890D5A" w:rsidR="00F0270B" w:rsidRPr="00ED58A7" w:rsidRDefault="00F0270B" w:rsidP="00B70EBB">
      <w:pPr>
        <w:pStyle w:val="NormalWeb"/>
        <w:numPr>
          <w:ilvl w:val="0"/>
          <w:numId w:val="1"/>
        </w:numPr>
        <w:spacing w:before="0" w:beforeAutospacing="0" w:after="120" w:afterAutospacing="0"/>
        <w:rPr>
          <w:sz w:val="20"/>
          <w:szCs w:val="22"/>
        </w:rPr>
      </w:pPr>
      <w:r>
        <w:rPr>
          <w:sz w:val="20"/>
          <w:szCs w:val="22"/>
        </w:rPr>
        <w:t>R1-</w:t>
      </w:r>
      <w:r w:rsidR="00B70EBB" w:rsidRPr="00B70EBB">
        <w:rPr>
          <w:sz w:val="20"/>
          <w:szCs w:val="22"/>
        </w:rPr>
        <w:t>1714096</w:t>
      </w:r>
      <w:r>
        <w:rPr>
          <w:sz w:val="20"/>
          <w:szCs w:val="22"/>
        </w:rPr>
        <w:t>, “</w:t>
      </w:r>
      <w:r w:rsidR="00B70EBB" w:rsidRPr="00B70EBB">
        <w:rPr>
          <w:sz w:val="20"/>
          <w:szCs w:val="22"/>
        </w:rPr>
        <w:t>On joint UCI for CA</w:t>
      </w:r>
      <w:r>
        <w:rPr>
          <w:sz w:val="20"/>
          <w:szCs w:val="22"/>
        </w:rPr>
        <w:t>”</w:t>
      </w:r>
      <w:r w:rsidRPr="00ED58A7">
        <w:rPr>
          <w:sz w:val="20"/>
          <w:szCs w:val="22"/>
        </w:rPr>
        <w:t xml:space="preserve">, Nokia, </w:t>
      </w:r>
      <w:r>
        <w:rPr>
          <w:sz w:val="20"/>
          <w:szCs w:val="22"/>
        </w:rPr>
        <w:t>Nokia Shanghai Bell, RAN1#90</w:t>
      </w:r>
      <w:r w:rsidRPr="00ED58A7">
        <w:rPr>
          <w:sz w:val="20"/>
          <w:szCs w:val="22"/>
        </w:rPr>
        <w:t xml:space="preserve">, </w:t>
      </w:r>
      <w:r>
        <w:rPr>
          <w:sz w:val="20"/>
          <w:szCs w:val="22"/>
        </w:rPr>
        <w:t>Aug.</w:t>
      </w:r>
      <w:r w:rsidRPr="00ED58A7">
        <w:rPr>
          <w:sz w:val="20"/>
          <w:szCs w:val="22"/>
        </w:rPr>
        <w:t xml:space="preserve"> 2017.</w:t>
      </w:r>
      <w:bookmarkStart w:id="0" w:name="_GoBack"/>
      <w:bookmarkEnd w:id="0"/>
    </w:p>
    <w:sectPr w:rsidR="00F0270B" w:rsidRPr="00ED58A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1319C" w14:textId="77777777" w:rsidR="001C1253" w:rsidRDefault="001C1253">
      <w:r>
        <w:separator/>
      </w:r>
    </w:p>
  </w:endnote>
  <w:endnote w:type="continuationSeparator" w:id="0">
    <w:p w14:paraId="4C074C07" w14:textId="77777777" w:rsidR="001C1253" w:rsidRDefault="001C1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3444B" w14:textId="77777777" w:rsidR="001C1253" w:rsidRDefault="001C1253">
      <w:r>
        <w:separator/>
      </w:r>
    </w:p>
  </w:footnote>
  <w:footnote w:type="continuationSeparator" w:id="0">
    <w:p w14:paraId="5F9ABD91" w14:textId="77777777" w:rsidR="001C1253" w:rsidRDefault="001C1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ED4"/>
    <w:multiLevelType w:val="hybridMultilevel"/>
    <w:tmpl w:val="A9387348"/>
    <w:lvl w:ilvl="0" w:tplc="263A0CEE">
      <w:start w:val="1"/>
      <w:numFmt w:val="bullet"/>
      <w:lvlText w:val="•"/>
      <w:lvlJc w:val="left"/>
      <w:pPr>
        <w:tabs>
          <w:tab w:val="num" w:pos="360"/>
        </w:tabs>
        <w:ind w:left="360" w:hanging="360"/>
      </w:pPr>
      <w:rPr>
        <w:rFonts w:ascii="Arial" w:hAnsi="Arial" w:hint="default"/>
      </w:rPr>
    </w:lvl>
    <w:lvl w:ilvl="1" w:tplc="4184F2F6">
      <w:numFmt w:val="bullet"/>
      <w:lvlText w:val="–"/>
      <w:lvlJc w:val="left"/>
      <w:pPr>
        <w:tabs>
          <w:tab w:val="num" w:pos="1080"/>
        </w:tabs>
        <w:ind w:left="1080" w:hanging="360"/>
      </w:pPr>
      <w:rPr>
        <w:rFonts w:ascii="Arial" w:hAnsi="Arial" w:hint="default"/>
      </w:rPr>
    </w:lvl>
    <w:lvl w:ilvl="2" w:tplc="82209A08">
      <w:start w:val="1"/>
      <w:numFmt w:val="bullet"/>
      <w:lvlText w:val="•"/>
      <w:lvlJc w:val="left"/>
      <w:pPr>
        <w:tabs>
          <w:tab w:val="num" w:pos="1800"/>
        </w:tabs>
        <w:ind w:left="1800" w:hanging="360"/>
      </w:pPr>
      <w:rPr>
        <w:rFonts w:ascii="Arial" w:hAnsi="Arial" w:hint="default"/>
      </w:rPr>
    </w:lvl>
    <w:lvl w:ilvl="3" w:tplc="B854F32C" w:tentative="1">
      <w:start w:val="1"/>
      <w:numFmt w:val="bullet"/>
      <w:lvlText w:val="•"/>
      <w:lvlJc w:val="left"/>
      <w:pPr>
        <w:tabs>
          <w:tab w:val="num" w:pos="2520"/>
        </w:tabs>
        <w:ind w:left="2520" w:hanging="360"/>
      </w:pPr>
      <w:rPr>
        <w:rFonts w:ascii="Arial" w:hAnsi="Arial" w:hint="default"/>
      </w:rPr>
    </w:lvl>
    <w:lvl w:ilvl="4" w:tplc="84D4393E" w:tentative="1">
      <w:start w:val="1"/>
      <w:numFmt w:val="bullet"/>
      <w:lvlText w:val="•"/>
      <w:lvlJc w:val="left"/>
      <w:pPr>
        <w:tabs>
          <w:tab w:val="num" w:pos="3240"/>
        </w:tabs>
        <w:ind w:left="3240" w:hanging="360"/>
      </w:pPr>
      <w:rPr>
        <w:rFonts w:ascii="Arial" w:hAnsi="Arial" w:hint="default"/>
      </w:rPr>
    </w:lvl>
    <w:lvl w:ilvl="5" w:tplc="5506567E" w:tentative="1">
      <w:start w:val="1"/>
      <w:numFmt w:val="bullet"/>
      <w:lvlText w:val="•"/>
      <w:lvlJc w:val="left"/>
      <w:pPr>
        <w:tabs>
          <w:tab w:val="num" w:pos="3960"/>
        </w:tabs>
        <w:ind w:left="3960" w:hanging="360"/>
      </w:pPr>
      <w:rPr>
        <w:rFonts w:ascii="Arial" w:hAnsi="Arial" w:hint="default"/>
      </w:rPr>
    </w:lvl>
    <w:lvl w:ilvl="6" w:tplc="9F32C992" w:tentative="1">
      <w:start w:val="1"/>
      <w:numFmt w:val="bullet"/>
      <w:lvlText w:val="•"/>
      <w:lvlJc w:val="left"/>
      <w:pPr>
        <w:tabs>
          <w:tab w:val="num" w:pos="4680"/>
        </w:tabs>
        <w:ind w:left="4680" w:hanging="360"/>
      </w:pPr>
      <w:rPr>
        <w:rFonts w:ascii="Arial" w:hAnsi="Arial" w:hint="default"/>
      </w:rPr>
    </w:lvl>
    <w:lvl w:ilvl="7" w:tplc="75EA26AC" w:tentative="1">
      <w:start w:val="1"/>
      <w:numFmt w:val="bullet"/>
      <w:lvlText w:val="•"/>
      <w:lvlJc w:val="left"/>
      <w:pPr>
        <w:tabs>
          <w:tab w:val="num" w:pos="5400"/>
        </w:tabs>
        <w:ind w:left="5400" w:hanging="360"/>
      </w:pPr>
      <w:rPr>
        <w:rFonts w:ascii="Arial" w:hAnsi="Arial" w:hint="default"/>
      </w:rPr>
    </w:lvl>
    <w:lvl w:ilvl="8" w:tplc="002AB7D8"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FF31E21"/>
    <w:multiLevelType w:val="hybridMultilevel"/>
    <w:tmpl w:val="1FF090D8"/>
    <w:lvl w:ilvl="0" w:tplc="099ACD4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83862"/>
    <w:multiLevelType w:val="hybridMultilevel"/>
    <w:tmpl w:val="80E4484A"/>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80C2AA8"/>
    <w:multiLevelType w:val="hybridMultilevel"/>
    <w:tmpl w:val="4F2259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217658A6"/>
    <w:multiLevelType w:val="hybridMultilevel"/>
    <w:tmpl w:val="28BE80BE"/>
    <w:lvl w:ilvl="0" w:tplc="8314F634">
      <w:start w:val="1"/>
      <w:numFmt w:val="bullet"/>
      <w:lvlText w:val="•"/>
      <w:lvlJc w:val="left"/>
      <w:pPr>
        <w:tabs>
          <w:tab w:val="num" w:pos="720"/>
        </w:tabs>
        <w:ind w:left="720" w:hanging="360"/>
      </w:pPr>
      <w:rPr>
        <w:rFonts w:ascii="Arial" w:hAnsi="Arial" w:hint="default"/>
      </w:rPr>
    </w:lvl>
    <w:lvl w:ilvl="1" w:tplc="B55E8736">
      <w:numFmt w:val="bullet"/>
      <w:lvlText w:val="•"/>
      <w:lvlJc w:val="left"/>
      <w:pPr>
        <w:tabs>
          <w:tab w:val="num" w:pos="1440"/>
        </w:tabs>
        <w:ind w:left="1440" w:hanging="360"/>
      </w:pPr>
      <w:rPr>
        <w:rFonts w:ascii="Arial" w:hAnsi="Arial" w:hint="default"/>
      </w:rPr>
    </w:lvl>
    <w:lvl w:ilvl="2" w:tplc="A69A12A2" w:tentative="1">
      <w:start w:val="1"/>
      <w:numFmt w:val="bullet"/>
      <w:lvlText w:val="•"/>
      <w:lvlJc w:val="left"/>
      <w:pPr>
        <w:tabs>
          <w:tab w:val="num" w:pos="2160"/>
        </w:tabs>
        <w:ind w:left="2160" w:hanging="360"/>
      </w:pPr>
      <w:rPr>
        <w:rFonts w:ascii="Arial" w:hAnsi="Arial" w:hint="default"/>
      </w:rPr>
    </w:lvl>
    <w:lvl w:ilvl="3" w:tplc="1CA8B7F2" w:tentative="1">
      <w:start w:val="1"/>
      <w:numFmt w:val="bullet"/>
      <w:lvlText w:val="•"/>
      <w:lvlJc w:val="left"/>
      <w:pPr>
        <w:tabs>
          <w:tab w:val="num" w:pos="2880"/>
        </w:tabs>
        <w:ind w:left="2880" w:hanging="360"/>
      </w:pPr>
      <w:rPr>
        <w:rFonts w:ascii="Arial" w:hAnsi="Arial" w:hint="default"/>
      </w:rPr>
    </w:lvl>
    <w:lvl w:ilvl="4" w:tplc="68726D02" w:tentative="1">
      <w:start w:val="1"/>
      <w:numFmt w:val="bullet"/>
      <w:lvlText w:val="•"/>
      <w:lvlJc w:val="left"/>
      <w:pPr>
        <w:tabs>
          <w:tab w:val="num" w:pos="3600"/>
        </w:tabs>
        <w:ind w:left="3600" w:hanging="360"/>
      </w:pPr>
      <w:rPr>
        <w:rFonts w:ascii="Arial" w:hAnsi="Arial" w:hint="default"/>
      </w:rPr>
    </w:lvl>
    <w:lvl w:ilvl="5" w:tplc="86C017A6" w:tentative="1">
      <w:start w:val="1"/>
      <w:numFmt w:val="bullet"/>
      <w:lvlText w:val="•"/>
      <w:lvlJc w:val="left"/>
      <w:pPr>
        <w:tabs>
          <w:tab w:val="num" w:pos="4320"/>
        </w:tabs>
        <w:ind w:left="4320" w:hanging="360"/>
      </w:pPr>
      <w:rPr>
        <w:rFonts w:ascii="Arial" w:hAnsi="Arial" w:hint="default"/>
      </w:rPr>
    </w:lvl>
    <w:lvl w:ilvl="6" w:tplc="881C2D66" w:tentative="1">
      <w:start w:val="1"/>
      <w:numFmt w:val="bullet"/>
      <w:lvlText w:val="•"/>
      <w:lvlJc w:val="left"/>
      <w:pPr>
        <w:tabs>
          <w:tab w:val="num" w:pos="5040"/>
        </w:tabs>
        <w:ind w:left="5040" w:hanging="360"/>
      </w:pPr>
      <w:rPr>
        <w:rFonts w:ascii="Arial" w:hAnsi="Arial" w:hint="default"/>
      </w:rPr>
    </w:lvl>
    <w:lvl w:ilvl="7" w:tplc="0A106DF0" w:tentative="1">
      <w:start w:val="1"/>
      <w:numFmt w:val="bullet"/>
      <w:lvlText w:val="•"/>
      <w:lvlJc w:val="left"/>
      <w:pPr>
        <w:tabs>
          <w:tab w:val="num" w:pos="5760"/>
        </w:tabs>
        <w:ind w:left="5760" w:hanging="360"/>
      </w:pPr>
      <w:rPr>
        <w:rFonts w:ascii="Arial" w:hAnsi="Arial" w:hint="default"/>
      </w:rPr>
    </w:lvl>
    <w:lvl w:ilvl="8" w:tplc="EC9844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7617A3"/>
    <w:multiLevelType w:val="hybridMultilevel"/>
    <w:tmpl w:val="F04058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4B4AC1"/>
    <w:multiLevelType w:val="hybridMultilevel"/>
    <w:tmpl w:val="67B88F12"/>
    <w:lvl w:ilvl="0" w:tplc="832C8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525788"/>
    <w:multiLevelType w:val="hybridMultilevel"/>
    <w:tmpl w:val="75C22FE2"/>
    <w:lvl w:ilvl="0" w:tplc="42E48786">
      <w:start w:val="1"/>
      <w:numFmt w:val="bullet"/>
      <w:lvlText w:val="•"/>
      <w:lvlJc w:val="left"/>
      <w:pPr>
        <w:tabs>
          <w:tab w:val="num" w:pos="720"/>
        </w:tabs>
        <w:ind w:left="720" w:hanging="360"/>
      </w:pPr>
      <w:rPr>
        <w:rFonts w:ascii="Arial" w:hAnsi="Arial" w:hint="default"/>
      </w:rPr>
    </w:lvl>
    <w:lvl w:ilvl="1" w:tplc="93B408B0">
      <w:start w:val="1782"/>
      <w:numFmt w:val="bullet"/>
      <w:lvlText w:val="–"/>
      <w:lvlJc w:val="left"/>
      <w:pPr>
        <w:tabs>
          <w:tab w:val="num" w:pos="1440"/>
        </w:tabs>
        <w:ind w:left="1440" w:hanging="360"/>
      </w:pPr>
      <w:rPr>
        <w:rFonts w:ascii="Arial" w:hAnsi="Arial" w:hint="default"/>
      </w:rPr>
    </w:lvl>
    <w:lvl w:ilvl="2" w:tplc="B234231C" w:tentative="1">
      <w:start w:val="1"/>
      <w:numFmt w:val="bullet"/>
      <w:lvlText w:val="•"/>
      <w:lvlJc w:val="left"/>
      <w:pPr>
        <w:tabs>
          <w:tab w:val="num" w:pos="2160"/>
        </w:tabs>
        <w:ind w:left="2160" w:hanging="360"/>
      </w:pPr>
      <w:rPr>
        <w:rFonts w:ascii="Arial" w:hAnsi="Arial" w:hint="default"/>
      </w:rPr>
    </w:lvl>
    <w:lvl w:ilvl="3" w:tplc="70F87788" w:tentative="1">
      <w:start w:val="1"/>
      <w:numFmt w:val="bullet"/>
      <w:lvlText w:val="•"/>
      <w:lvlJc w:val="left"/>
      <w:pPr>
        <w:tabs>
          <w:tab w:val="num" w:pos="2880"/>
        </w:tabs>
        <w:ind w:left="2880" w:hanging="360"/>
      </w:pPr>
      <w:rPr>
        <w:rFonts w:ascii="Arial" w:hAnsi="Arial" w:hint="default"/>
      </w:rPr>
    </w:lvl>
    <w:lvl w:ilvl="4" w:tplc="19DECAA0" w:tentative="1">
      <w:start w:val="1"/>
      <w:numFmt w:val="bullet"/>
      <w:lvlText w:val="•"/>
      <w:lvlJc w:val="left"/>
      <w:pPr>
        <w:tabs>
          <w:tab w:val="num" w:pos="3600"/>
        </w:tabs>
        <w:ind w:left="3600" w:hanging="360"/>
      </w:pPr>
      <w:rPr>
        <w:rFonts w:ascii="Arial" w:hAnsi="Arial" w:hint="default"/>
      </w:rPr>
    </w:lvl>
    <w:lvl w:ilvl="5" w:tplc="EC24DC9E" w:tentative="1">
      <w:start w:val="1"/>
      <w:numFmt w:val="bullet"/>
      <w:lvlText w:val="•"/>
      <w:lvlJc w:val="left"/>
      <w:pPr>
        <w:tabs>
          <w:tab w:val="num" w:pos="4320"/>
        </w:tabs>
        <w:ind w:left="4320" w:hanging="360"/>
      </w:pPr>
      <w:rPr>
        <w:rFonts w:ascii="Arial" w:hAnsi="Arial" w:hint="default"/>
      </w:rPr>
    </w:lvl>
    <w:lvl w:ilvl="6" w:tplc="1CAC6BDE" w:tentative="1">
      <w:start w:val="1"/>
      <w:numFmt w:val="bullet"/>
      <w:lvlText w:val="•"/>
      <w:lvlJc w:val="left"/>
      <w:pPr>
        <w:tabs>
          <w:tab w:val="num" w:pos="5040"/>
        </w:tabs>
        <w:ind w:left="5040" w:hanging="360"/>
      </w:pPr>
      <w:rPr>
        <w:rFonts w:ascii="Arial" w:hAnsi="Arial" w:hint="default"/>
      </w:rPr>
    </w:lvl>
    <w:lvl w:ilvl="7" w:tplc="B72CA82C" w:tentative="1">
      <w:start w:val="1"/>
      <w:numFmt w:val="bullet"/>
      <w:lvlText w:val="•"/>
      <w:lvlJc w:val="left"/>
      <w:pPr>
        <w:tabs>
          <w:tab w:val="num" w:pos="5760"/>
        </w:tabs>
        <w:ind w:left="5760" w:hanging="360"/>
      </w:pPr>
      <w:rPr>
        <w:rFonts w:ascii="Arial" w:hAnsi="Arial" w:hint="default"/>
      </w:rPr>
    </w:lvl>
    <w:lvl w:ilvl="8" w:tplc="546C0A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45146F"/>
    <w:multiLevelType w:val="hybridMultilevel"/>
    <w:tmpl w:val="B1A81744"/>
    <w:lvl w:ilvl="0" w:tplc="FCBEB290">
      <w:start w:val="1"/>
      <w:numFmt w:val="bullet"/>
      <w:lvlText w:val="-"/>
      <w:lvlJc w:val="left"/>
      <w:pPr>
        <w:ind w:left="644" w:hanging="360"/>
      </w:pPr>
      <w:rPr>
        <w:rFonts w:ascii="Calibri" w:eastAsia="SimSun" w:hAnsi="Calibri"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3663220"/>
    <w:multiLevelType w:val="hybridMultilevel"/>
    <w:tmpl w:val="8968C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7D2854"/>
    <w:multiLevelType w:val="hybridMultilevel"/>
    <w:tmpl w:val="0BAC1B1E"/>
    <w:lvl w:ilvl="0" w:tplc="E6CA91E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8A5FDE"/>
    <w:multiLevelType w:val="hybridMultilevel"/>
    <w:tmpl w:val="16621066"/>
    <w:lvl w:ilvl="0" w:tplc="7A7EB430">
      <w:start w:val="1"/>
      <w:numFmt w:val="bullet"/>
      <w:lvlText w:val="•"/>
      <w:lvlJc w:val="left"/>
      <w:pPr>
        <w:tabs>
          <w:tab w:val="num" w:pos="720"/>
        </w:tabs>
        <w:ind w:left="720" w:hanging="360"/>
      </w:pPr>
      <w:rPr>
        <w:rFonts w:ascii="Arial" w:hAnsi="Arial" w:hint="default"/>
      </w:rPr>
    </w:lvl>
    <w:lvl w:ilvl="1" w:tplc="29249A3E">
      <w:numFmt w:val="bullet"/>
      <w:lvlText w:val="-"/>
      <w:lvlJc w:val="left"/>
      <w:pPr>
        <w:tabs>
          <w:tab w:val="num" w:pos="1440"/>
        </w:tabs>
        <w:ind w:left="1440" w:hanging="360"/>
      </w:pPr>
      <w:rPr>
        <w:rFonts w:ascii="Lucida Grande" w:hAnsi="Lucida Grande" w:hint="default"/>
      </w:rPr>
    </w:lvl>
    <w:lvl w:ilvl="2" w:tplc="BF76A518" w:tentative="1">
      <w:start w:val="1"/>
      <w:numFmt w:val="bullet"/>
      <w:lvlText w:val="•"/>
      <w:lvlJc w:val="left"/>
      <w:pPr>
        <w:tabs>
          <w:tab w:val="num" w:pos="2160"/>
        </w:tabs>
        <w:ind w:left="2160" w:hanging="360"/>
      </w:pPr>
      <w:rPr>
        <w:rFonts w:ascii="Arial" w:hAnsi="Arial" w:hint="default"/>
      </w:rPr>
    </w:lvl>
    <w:lvl w:ilvl="3" w:tplc="1E1A31B4" w:tentative="1">
      <w:start w:val="1"/>
      <w:numFmt w:val="bullet"/>
      <w:lvlText w:val="•"/>
      <w:lvlJc w:val="left"/>
      <w:pPr>
        <w:tabs>
          <w:tab w:val="num" w:pos="2880"/>
        </w:tabs>
        <w:ind w:left="2880" w:hanging="360"/>
      </w:pPr>
      <w:rPr>
        <w:rFonts w:ascii="Arial" w:hAnsi="Arial" w:hint="default"/>
      </w:rPr>
    </w:lvl>
    <w:lvl w:ilvl="4" w:tplc="3D2AED50" w:tentative="1">
      <w:start w:val="1"/>
      <w:numFmt w:val="bullet"/>
      <w:lvlText w:val="•"/>
      <w:lvlJc w:val="left"/>
      <w:pPr>
        <w:tabs>
          <w:tab w:val="num" w:pos="3600"/>
        </w:tabs>
        <w:ind w:left="3600" w:hanging="360"/>
      </w:pPr>
      <w:rPr>
        <w:rFonts w:ascii="Arial" w:hAnsi="Arial" w:hint="default"/>
      </w:rPr>
    </w:lvl>
    <w:lvl w:ilvl="5" w:tplc="CDFE2BBA" w:tentative="1">
      <w:start w:val="1"/>
      <w:numFmt w:val="bullet"/>
      <w:lvlText w:val="•"/>
      <w:lvlJc w:val="left"/>
      <w:pPr>
        <w:tabs>
          <w:tab w:val="num" w:pos="4320"/>
        </w:tabs>
        <w:ind w:left="4320" w:hanging="360"/>
      </w:pPr>
      <w:rPr>
        <w:rFonts w:ascii="Arial" w:hAnsi="Arial" w:hint="default"/>
      </w:rPr>
    </w:lvl>
    <w:lvl w:ilvl="6" w:tplc="EB328ABA" w:tentative="1">
      <w:start w:val="1"/>
      <w:numFmt w:val="bullet"/>
      <w:lvlText w:val="•"/>
      <w:lvlJc w:val="left"/>
      <w:pPr>
        <w:tabs>
          <w:tab w:val="num" w:pos="5040"/>
        </w:tabs>
        <w:ind w:left="5040" w:hanging="360"/>
      </w:pPr>
      <w:rPr>
        <w:rFonts w:ascii="Arial" w:hAnsi="Arial" w:hint="default"/>
      </w:rPr>
    </w:lvl>
    <w:lvl w:ilvl="7" w:tplc="774873DC" w:tentative="1">
      <w:start w:val="1"/>
      <w:numFmt w:val="bullet"/>
      <w:lvlText w:val="•"/>
      <w:lvlJc w:val="left"/>
      <w:pPr>
        <w:tabs>
          <w:tab w:val="num" w:pos="5760"/>
        </w:tabs>
        <w:ind w:left="5760" w:hanging="360"/>
      </w:pPr>
      <w:rPr>
        <w:rFonts w:ascii="Arial" w:hAnsi="Arial" w:hint="default"/>
      </w:rPr>
    </w:lvl>
    <w:lvl w:ilvl="8" w:tplc="1E1ED2C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53E51A2"/>
    <w:multiLevelType w:val="hybridMultilevel"/>
    <w:tmpl w:val="46EAD522"/>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6"/>
  </w:num>
  <w:num w:numId="3">
    <w:abstractNumId w:val="4"/>
  </w:num>
  <w:num w:numId="4">
    <w:abstractNumId w:val="27"/>
  </w:num>
  <w:num w:numId="5">
    <w:abstractNumId w:val="23"/>
  </w:num>
  <w:num w:numId="6">
    <w:abstractNumId w:val="12"/>
  </w:num>
  <w:num w:numId="7">
    <w:abstractNumId w:val="8"/>
  </w:num>
  <w:num w:numId="8">
    <w:abstractNumId w:val="22"/>
  </w:num>
  <w:num w:numId="9">
    <w:abstractNumId w:val="15"/>
  </w:num>
  <w:num w:numId="10">
    <w:abstractNumId w:val="7"/>
  </w:num>
  <w:num w:numId="11">
    <w:abstractNumId w:val="11"/>
  </w:num>
  <w:num w:numId="12">
    <w:abstractNumId w:val="18"/>
  </w:num>
  <w:num w:numId="13">
    <w:abstractNumId w:val="20"/>
  </w:num>
  <w:num w:numId="14">
    <w:abstractNumId w:val="14"/>
  </w:num>
  <w:num w:numId="15">
    <w:abstractNumId w:val="13"/>
  </w:num>
  <w:num w:numId="16">
    <w:abstractNumId w:val="25"/>
  </w:num>
  <w:num w:numId="17">
    <w:abstractNumId w:val="3"/>
  </w:num>
  <w:num w:numId="18">
    <w:abstractNumId w:val="21"/>
  </w:num>
  <w:num w:numId="19">
    <w:abstractNumId w:val="5"/>
  </w:num>
  <w:num w:numId="20">
    <w:abstractNumId w:val="17"/>
  </w:num>
  <w:num w:numId="21">
    <w:abstractNumId w:val="9"/>
  </w:num>
  <w:num w:numId="22">
    <w:abstractNumId w:val="26"/>
  </w:num>
  <w:num w:numId="23">
    <w:abstractNumId w:val="24"/>
  </w:num>
  <w:num w:numId="24">
    <w:abstractNumId w:val="19"/>
  </w:num>
  <w:num w:numId="25">
    <w:abstractNumId w:val="19"/>
  </w:num>
  <w:num w:numId="26">
    <w:abstractNumId w:val="28"/>
  </w:num>
  <w:num w:numId="27">
    <w:abstractNumId w:val="16"/>
  </w:num>
  <w:num w:numId="28">
    <w:abstractNumId w:val="1"/>
  </w:num>
  <w:num w:numId="29">
    <w:abstractNumId w:val="0"/>
  </w:num>
  <w:num w:numId="3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F5A"/>
    <w:rsid w:val="00004AC8"/>
    <w:rsid w:val="000053BA"/>
    <w:rsid w:val="00006055"/>
    <w:rsid w:val="00006AD4"/>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827"/>
    <w:rsid w:val="00022B8C"/>
    <w:rsid w:val="00023742"/>
    <w:rsid w:val="00024AEF"/>
    <w:rsid w:val="00026C65"/>
    <w:rsid w:val="00027755"/>
    <w:rsid w:val="00030048"/>
    <w:rsid w:val="000306E6"/>
    <w:rsid w:val="0003072D"/>
    <w:rsid w:val="000314CD"/>
    <w:rsid w:val="00033544"/>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7CA"/>
    <w:rsid w:val="000719BF"/>
    <w:rsid w:val="0007208A"/>
    <w:rsid w:val="00072BBA"/>
    <w:rsid w:val="00072FF5"/>
    <w:rsid w:val="00075FDA"/>
    <w:rsid w:val="00076386"/>
    <w:rsid w:val="00076D82"/>
    <w:rsid w:val="00081EC2"/>
    <w:rsid w:val="00083800"/>
    <w:rsid w:val="000839FB"/>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6DB"/>
    <w:rsid w:val="000B1C5E"/>
    <w:rsid w:val="000B2282"/>
    <w:rsid w:val="000B2A11"/>
    <w:rsid w:val="000B2A5B"/>
    <w:rsid w:val="000B3B91"/>
    <w:rsid w:val="000B4B1B"/>
    <w:rsid w:val="000B5AC9"/>
    <w:rsid w:val="000B5F0A"/>
    <w:rsid w:val="000C1D59"/>
    <w:rsid w:val="000C30CF"/>
    <w:rsid w:val="000C501D"/>
    <w:rsid w:val="000C5CBA"/>
    <w:rsid w:val="000C74BA"/>
    <w:rsid w:val="000C7531"/>
    <w:rsid w:val="000C7C3F"/>
    <w:rsid w:val="000D0BD6"/>
    <w:rsid w:val="000D0C61"/>
    <w:rsid w:val="000D27AD"/>
    <w:rsid w:val="000D29D1"/>
    <w:rsid w:val="000D2B0A"/>
    <w:rsid w:val="000D3286"/>
    <w:rsid w:val="000D344D"/>
    <w:rsid w:val="000D40E7"/>
    <w:rsid w:val="000D584F"/>
    <w:rsid w:val="000D76BC"/>
    <w:rsid w:val="000E071E"/>
    <w:rsid w:val="000E0DEE"/>
    <w:rsid w:val="000E181D"/>
    <w:rsid w:val="000E27AA"/>
    <w:rsid w:val="000E2A65"/>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C4F"/>
    <w:rsid w:val="00102C9F"/>
    <w:rsid w:val="001068D2"/>
    <w:rsid w:val="001069F2"/>
    <w:rsid w:val="001103BD"/>
    <w:rsid w:val="00111208"/>
    <w:rsid w:val="001115E4"/>
    <w:rsid w:val="00111808"/>
    <w:rsid w:val="00112A4D"/>
    <w:rsid w:val="0011339F"/>
    <w:rsid w:val="00113B8F"/>
    <w:rsid w:val="00113EC8"/>
    <w:rsid w:val="00114E96"/>
    <w:rsid w:val="0011644A"/>
    <w:rsid w:val="00117332"/>
    <w:rsid w:val="0011784B"/>
    <w:rsid w:val="001204DD"/>
    <w:rsid w:val="00122839"/>
    <w:rsid w:val="001237AC"/>
    <w:rsid w:val="00124E12"/>
    <w:rsid w:val="0012673D"/>
    <w:rsid w:val="001269B8"/>
    <w:rsid w:val="00127099"/>
    <w:rsid w:val="00132830"/>
    <w:rsid w:val="00132B71"/>
    <w:rsid w:val="00132E7C"/>
    <w:rsid w:val="0013427A"/>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30F"/>
    <w:rsid w:val="00155BFD"/>
    <w:rsid w:val="00156ABA"/>
    <w:rsid w:val="00157390"/>
    <w:rsid w:val="0016009B"/>
    <w:rsid w:val="00160998"/>
    <w:rsid w:val="00160CD6"/>
    <w:rsid w:val="00162308"/>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1BAB"/>
    <w:rsid w:val="00192FE6"/>
    <w:rsid w:val="0019360B"/>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1253"/>
    <w:rsid w:val="001C226F"/>
    <w:rsid w:val="001C66AC"/>
    <w:rsid w:val="001C6754"/>
    <w:rsid w:val="001C77F0"/>
    <w:rsid w:val="001D30C9"/>
    <w:rsid w:val="001D445B"/>
    <w:rsid w:val="001D46A0"/>
    <w:rsid w:val="001D50C2"/>
    <w:rsid w:val="001D7CA4"/>
    <w:rsid w:val="001D7E58"/>
    <w:rsid w:val="001E30A0"/>
    <w:rsid w:val="001E4D4F"/>
    <w:rsid w:val="001E54F9"/>
    <w:rsid w:val="001E57CF"/>
    <w:rsid w:val="001E5981"/>
    <w:rsid w:val="001E6826"/>
    <w:rsid w:val="001E6E8E"/>
    <w:rsid w:val="001E74BA"/>
    <w:rsid w:val="001E7B9F"/>
    <w:rsid w:val="001F01FB"/>
    <w:rsid w:val="001F0217"/>
    <w:rsid w:val="001F0658"/>
    <w:rsid w:val="001F0C29"/>
    <w:rsid w:val="001F0E92"/>
    <w:rsid w:val="001F1987"/>
    <w:rsid w:val="001F21BC"/>
    <w:rsid w:val="001F23BD"/>
    <w:rsid w:val="001F34DA"/>
    <w:rsid w:val="001F4DAC"/>
    <w:rsid w:val="001F5019"/>
    <w:rsid w:val="001F51C5"/>
    <w:rsid w:val="001F67AA"/>
    <w:rsid w:val="001F6AFD"/>
    <w:rsid w:val="001F7599"/>
    <w:rsid w:val="00204B22"/>
    <w:rsid w:val="00204B3A"/>
    <w:rsid w:val="0020535A"/>
    <w:rsid w:val="002055CB"/>
    <w:rsid w:val="00206955"/>
    <w:rsid w:val="00210309"/>
    <w:rsid w:val="0021224B"/>
    <w:rsid w:val="00212FB8"/>
    <w:rsid w:val="00213709"/>
    <w:rsid w:val="002149AF"/>
    <w:rsid w:val="00214A86"/>
    <w:rsid w:val="00214DAF"/>
    <w:rsid w:val="00215AAA"/>
    <w:rsid w:val="0021683C"/>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0342"/>
    <w:rsid w:val="00241311"/>
    <w:rsid w:val="002418E8"/>
    <w:rsid w:val="00242E22"/>
    <w:rsid w:val="0024336B"/>
    <w:rsid w:val="0024424F"/>
    <w:rsid w:val="00244D28"/>
    <w:rsid w:val="00245720"/>
    <w:rsid w:val="00245A6F"/>
    <w:rsid w:val="00245FD5"/>
    <w:rsid w:val="002477DF"/>
    <w:rsid w:val="00251AD6"/>
    <w:rsid w:val="00252C17"/>
    <w:rsid w:val="0025307F"/>
    <w:rsid w:val="002551BD"/>
    <w:rsid w:val="002568D0"/>
    <w:rsid w:val="00260AEE"/>
    <w:rsid w:val="00262661"/>
    <w:rsid w:val="00262D9D"/>
    <w:rsid w:val="002632DF"/>
    <w:rsid w:val="00263946"/>
    <w:rsid w:val="002640BA"/>
    <w:rsid w:val="00264CF2"/>
    <w:rsid w:val="00267587"/>
    <w:rsid w:val="002675C8"/>
    <w:rsid w:val="00267760"/>
    <w:rsid w:val="00271589"/>
    <w:rsid w:val="00273177"/>
    <w:rsid w:val="0027455B"/>
    <w:rsid w:val="00275074"/>
    <w:rsid w:val="002763E9"/>
    <w:rsid w:val="00276736"/>
    <w:rsid w:val="00276F4E"/>
    <w:rsid w:val="0027773D"/>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B3BBD"/>
    <w:rsid w:val="002C0C4B"/>
    <w:rsid w:val="002C1EEA"/>
    <w:rsid w:val="002C47AD"/>
    <w:rsid w:val="002C5510"/>
    <w:rsid w:val="002C6034"/>
    <w:rsid w:val="002C635B"/>
    <w:rsid w:val="002C7CFF"/>
    <w:rsid w:val="002D0BC6"/>
    <w:rsid w:val="002D17C5"/>
    <w:rsid w:val="002D365F"/>
    <w:rsid w:val="002D51DF"/>
    <w:rsid w:val="002D68C2"/>
    <w:rsid w:val="002D7334"/>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476C"/>
    <w:rsid w:val="00335EA8"/>
    <w:rsid w:val="003363DD"/>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FEE"/>
    <w:rsid w:val="00356275"/>
    <w:rsid w:val="00356C0B"/>
    <w:rsid w:val="00357B9C"/>
    <w:rsid w:val="00361412"/>
    <w:rsid w:val="003615CA"/>
    <w:rsid w:val="00363B2C"/>
    <w:rsid w:val="003642A6"/>
    <w:rsid w:val="00364763"/>
    <w:rsid w:val="00364B24"/>
    <w:rsid w:val="00365C3D"/>
    <w:rsid w:val="00367337"/>
    <w:rsid w:val="00367367"/>
    <w:rsid w:val="00367FD8"/>
    <w:rsid w:val="0037004E"/>
    <w:rsid w:val="00370B63"/>
    <w:rsid w:val="00370FCC"/>
    <w:rsid w:val="003711AF"/>
    <w:rsid w:val="00371634"/>
    <w:rsid w:val="003735C6"/>
    <w:rsid w:val="00374848"/>
    <w:rsid w:val="003757A1"/>
    <w:rsid w:val="00375D09"/>
    <w:rsid w:val="003762DC"/>
    <w:rsid w:val="0037739D"/>
    <w:rsid w:val="0037751C"/>
    <w:rsid w:val="00380B66"/>
    <w:rsid w:val="00380F3F"/>
    <w:rsid w:val="00382232"/>
    <w:rsid w:val="00382F1A"/>
    <w:rsid w:val="00383282"/>
    <w:rsid w:val="00383422"/>
    <w:rsid w:val="00383658"/>
    <w:rsid w:val="0038412E"/>
    <w:rsid w:val="00386053"/>
    <w:rsid w:val="00386C9E"/>
    <w:rsid w:val="0038771D"/>
    <w:rsid w:val="00392491"/>
    <w:rsid w:val="00393E44"/>
    <w:rsid w:val="00394301"/>
    <w:rsid w:val="0039747B"/>
    <w:rsid w:val="00397AB6"/>
    <w:rsid w:val="00397ACA"/>
    <w:rsid w:val="003A10C3"/>
    <w:rsid w:val="003A4A40"/>
    <w:rsid w:val="003A5844"/>
    <w:rsid w:val="003A597F"/>
    <w:rsid w:val="003A5DD0"/>
    <w:rsid w:val="003A71A8"/>
    <w:rsid w:val="003B00CA"/>
    <w:rsid w:val="003B030B"/>
    <w:rsid w:val="003B0432"/>
    <w:rsid w:val="003B0821"/>
    <w:rsid w:val="003B0BE9"/>
    <w:rsid w:val="003B2E9B"/>
    <w:rsid w:val="003B2F8D"/>
    <w:rsid w:val="003B3C64"/>
    <w:rsid w:val="003B4FAA"/>
    <w:rsid w:val="003B547A"/>
    <w:rsid w:val="003B6EC0"/>
    <w:rsid w:val="003B75B9"/>
    <w:rsid w:val="003C087B"/>
    <w:rsid w:val="003C0DA2"/>
    <w:rsid w:val="003C1A18"/>
    <w:rsid w:val="003C5C41"/>
    <w:rsid w:val="003C6877"/>
    <w:rsid w:val="003C7461"/>
    <w:rsid w:val="003C787F"/>
    <w:rsid w:val="003D0788"/>
    <w:rsid w:val="003D132A"/>
    <w:rsid w:val="003D1517"/>
    <w:rsid w:val="003D1D50"/>
    <w:rsid w:val="003D232D"/>
    <w:rsid w:val="003D2938"/>
    <w:rsid w:val="003D3FBA"/>
    <w:rsid w:val="003D402B"/>
    <w:rsid w:val="003D54B0"/>
    <w:rsid w:val="003D764F"/>
    <w:rsid w:val="003E0042"/>
    <w:rsid w:val="003E0667"/>
    <w:rsid w:val="003E0BCE"/>
    <w:rsid w:val="003E13E0"/>
    <w:rsid w:val="003E1660"/>
    <w:rsid w:val="003E1CD1"/>
    <w:rsid w:val="003E2A2D"/>
    <w:rsid w:val="003E64A9"/>
    <w:rsid w:val="003E7905"/>
    <w:rsid w:val="003F0336"/>
    <w:rsid w:val="003F5547"/>
    <w:rsid w:val="003F5C40"/>
    <w:rsid w:val="003F6E12"/>
    <w:rsid w:val="003F6F8B"/>
    <w:rsid w:val="003F75ED"/>
    <w:rsid w:val="004002B7"/>
    <w:rsid w:val="00400F31"/>
    <w:rsid w:val="00406B4D"/>
    <w:rsid w:val="0041443C"/>
    <w:rsid w:val="0041488F"/>
    <w:rsid w:val="004154F7"/>
    <w:rsid w:val="00416D44"/>
    <w:rsid w:val="004176FF"/>
    <w:rsid w:val="00421A27"/>
    <w:rsid w:val="00421D0A"/>
    <w:rsid w:val="004241C5"/>
    <w:rsid w:val="00424FA7"/>
    <w:rsid w:val="00425D2C"/>
    <w:rsid w:val="00426A87"/>
    <w:rsid w:val="004309D8"/>
    <w:rsid w:val="004313D1"/>
    <w:rsid w:val="00432110"/>
    <w:rsid w:val="00433EBE"/>
    <w:rsid w:val="00434406"/>
    <w:rsid w:val="00440FED"/>
    <w:rsid w:val="00441B92"/>
    <w:rsid w:val="0044474B"/>
    <w:rsid w:val="004457AC"/>
    <w:rsid w:val="00445FF7"/>
    <w:rsid w:val="004508A8"/>
    <w:rsid w:val="00453341"/>
    <w:rsid w:val="004545C6"/>
    <w:rsid w:val="00454DCA"/>
    <w:rsid w:val="00456544"/>
    <w:rsid w:val="00456649"/>
    <w:rsid w:val="004567B7"/>
    <w:rsid w:val="00456856"/>
    <w:rsid w:val="00461210"/>
    <w:rsid w:val="00461700"/>
    <w:rsid w:val="00461AAC"/>
    <w:rsid w:val="00462490"/>
    <w:rsid w:val="00465299"/>
    <w:rsid w:val="00466A0F"/>
    <w:rsid w:val="0046795B"/>
    <w:rsid w:val="004708C0"/>
    <w:rsid w:val="0047115F"/>
    <w:rsid w:val="004715CB"/>
    <w:rsid w:val="00471863"/>
    <w:rsid w:val="00473A14"/>
    <w:rsid w:val="004745A9"/>
    <w:rsid w:val="00474871"/>
    <w:rsid w:val="00474CA8"/>
    <w:rsid w:val="00474E43"/>
    <w:rsid w:val="00476A55"/>
    <w:rsid w:val="0048076D"/>
    <w:rsid w:val="00481624"/>
    <w:rsid w:val="00481765"/>
    <w:rsid w:val="00481D90"/>
    <w:rsid w:val="00482700"/>
    <w:rsid w:val="00482CD4"/>
    <w:rsid w:val="00483261"/>
    <w:rsid w:val="0048328A"/>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83D"/>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6381"/>
    <w:rsid w:val="004D7DA8"/>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318B"/>
    <w:rsid w:val="00504311"/>
    <w:rsid w:val="0050485C"/>
    <w:rsid w:val="00504AC6"/>
    <w:rsid w:val="00504D75"/>
    <w:rsid w:val="00505D51"/>
    <w:rsid w:val="00510ABC"/>
    <w:rsid w:val="00511079"/>
    <w:rsid w:val="00511411"/>
    <w:rsid w:val="00511CDF"/>
    <w:rsid w:val="00512829"/>
    <w:rsid w:val="00513839"/>
    <w:rsid w:val="00513DEF"/>
    <w:rsid w:val="0051423C"/>
    <w:rsid w:val="00514C91"/>
    <w:rsid w:val="005153CE"/>
    <w:rsid w:val="00516241"/>
    <w:rsid w:val="00516FD9"/>
    <w:rsid w:val="0051791D"/>
    <w:rsid w:val="00520D6D"/>
    <w:rsid w:val="00521425"/>
    <w:rsid w:val="00523E75"/>
    <w:rsid w:val="005243E0"/>
    <w:rsid w:val="005256F3"/>
    <w:rsid w:val="005265A3"/>
    <w:rsid w:val="00526783"/>
    <w:rsid w:val="00527F11"/>
    <w:rsid w:val="00527FB1"/>
    <w:rsid w:val="0053162F"/>
    <w:rsid w:val="00531777"/>
    <w:rsid w:val="0053281C"/>
    <w:rsid w:val="005340C9"/>
    <w:rsid w:val="0053614D"/>
    <w:rsid w:val="00536698"/>
    <w:rsid w:val="005375FE"/>
    <w:rsid w:val="0054195A"/>
    <w:rsid w:val="005420DE"/>
    <w:rsid w:val="00542249"/>
    <w:rsid w:val="005431F5"/>
    <w:rsid w:val="00543707"/>
    <w:rsid w:val="005439D2"/>
    <w:rsid w:val="00543EBB"/>
    <w:rsid w:val="00544213"/>
    <w:rsid w:val="005453F3"/>
    <w:rsid w:val="00545549"/>
    <w:rsid w:val="005469F5"/>
    <w:rsid w:val="00546F36"/>
    <w:rsid w:val="005518ED"/>
    <w:rsid w:val="00552093"/>
    <w:rsid w:val="00554E06"/>
    <w:rsid w:val="00554E4B"/>
    <w:rsid w:val="0055519C"/>
    <w:rsid w:val="00555F67"/>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7835"/>
    <w:rsid w:val="00580793"/>
    <w:rsid w:val="00581470"/>
    <w:rsid w:val="00581B62"/>
    <w:rsid w:val="00581BAD"/>
    <w:rsid w:val="00582087"/>
    <w:rsid w:val="005831DD"/>
    <w:rsid w:val="00584320"/>
    <w:rsid w:val="00585484"/>
    <w:rsid w:val="00587229"/>
    <w:rsid w:val="00587503"/>
    <w:rsid w:val="00587F7F"/>
    <w:rsid w:val="00590E8D"/>
    <w:rsid w:val="00591511"/>
    <w:rsid w:val="00592CDA"/>
    <w:rsid w:val="0059331A"/>
    <w:rsid w:val="00595C2C"/>
    <w:rsid w:val="00596BBA"/>
    <w:rsid w:val="00597386"/>
    <w:rsid w:val="005975C4"/>
    <w:rsid w:val="00597ED8"/>
    <w:rsid w:val="005A2B20"/>
    <w:rsid w:val="005A34D5"/>
    <w:rsid w:val="005A4904"/>
    <w:rsid w:val="005A515A"/>
    <w:rsid w:val="005A704D"/>
    <w:rsid w:val="005B3C6D"/>
    <w:rsid w:val="005B4045"/>
    <w:rsid w:val="005B609E"/>
    <w:rsid w:val="005B6DF6"/>
    <w:rsid w:val="005B78B6"/>
    <w:rsid w:val="005B7B7D"/>
    <w:rsid w:val="005C1948"/>
    <w:rsid w:val="005C22F9"/>
    <w:rsid w:val="005C263C"/>
    <w:rsid w:val="005C2679"/>
    <w:rsid w:val="005C5870"/>
    <w:rsid w:val="005D059A"/>
    <w:rsid w:val="005D07C5"/>
    <w:rsid w:val="005D21B7"/>
    <w:rsid w:val="005D4302"/>
    <w:rsid w:val="005D5A20"/>
    <w:rsid w:val="005D786C"/>
    <w:rsid w:val="005E00E5"/>
    <w:rsid w:val="005E049F"/>
    <w:rsid w:val="005E3073"/>
    <w:rsid w:val="005E316A"/>
    <w:rsid w:val="005F0108"/>
    <w:rsid w:val="005F0ECC"/>
    <w:rsid w:val="005F21A5"/>
    <w:rsid w:val="005F2470"/>
    <w:rsid w:val="005F28C6"/>
    <w:rsid w:val="005F3F16"/>
    <w:rsid w:val="005F52CC"/>
    <w:rsid w:val="005F5E6F"/>
    <w:rsid w:val="005F681C"/>
    <w:rsid w:val="005F6BD4"/>
    <w:rsid w:val="005F7188"/>
    <w:rsid w:val="005F7985"/>
    <w:rsid w:val="00600CEB"/>
    <w:rsid w:val="006025A8"/>
    <w:rsid w:val="00602A78"/>
    <w:rsid w:val="00602A84"/>
    <w:rsid w:val="00602AA1"/>
    <w:rsid w:val="006036F4"/>
    <w:rsid w:val="00604367"/>
    <w:rsid w:val="006044BE"/>
    <w:rsid w:val="0060475F"/>
    <w:rsid w:val="006047DF"/>
    <w:rsid w:val="00604DE1"/>
    <w:rsid w:val="006060C2"/>
    <w:rsid w:val="00606A26"/>
    <w:rsid w:val="00607D81"/>
    <w:rsid w:val="00610747"/>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283"/>
    <w:rsid w:val="0064165D"/>
    <w:rsid w:val="00642E8C"/>
    <w:rsid w:val="006433BD"/>
    <w:rsid w:val="00643784"/>
    <w:rsid w:val="00644186"/>
    <w:rsid w:val="00644A21"/>
    <w:rsid w:val="00645C9F"/>
    <w:rsid w:val="00646305"/>
    <w:rsid w:val="00646A6C"/>
    <w:rsid w:val="006475E6"/>
    <w:rsid w:val="006508B9"/>
    <w:rsid w:val="00650CA1"/>
    <w:rsid w:val="0065143C"/>
    <w:rsid w:val="00651854"/>
    <w:rsid w:val="00652578"/>
    <w:rsid w:val="006539E8"/>
    <w:rsid w:val="006565D8"/>
    <w:rsid w:val="00656B96"/>
    <w:rsid w:val="00656F79"/>
    <w:rsid w:val="0065736B"/>
    <w:rsid w:val="006578E4"/>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E2E"/>
    <w:rsid w:val="006915D7"/>
    <w:rsid w:val="00692814"/>
    <w:rsid w:val="006932E7"/>
    <w:rsid w:val="00693347"/>
    <w:rsid w:val="0069334C"/>
    <w:rsid w:val="00694D7C"/>
    <w:rsid w:val="00696D63"/>
    <w:rsid w:val="006A032F"/>
    <w:rsid w:val="006A146E"/>
    <w:rsid w:val="006A1BEB"/>
    <w:rsid w:val="006A41AE"/>
    <w:rsid w:val="006A4856"/>
    <w:rsid w:val="006A564B"/>
    <w:rsid w:val="006B1545"/>
    <w:rsid w:val="006B23B9"/>
    <w:rsid w:val="006B2DA7"/>
    <w:rsid w:val="006B2F4D"/>
    <w:rsid w:val="006B3682"/>
    <w:rsid w:val="006B48CB"/>
    <w:rsid w:val="006B564D"/>
    <w:rsid w:val="006C1445"/>
    <w:rsid w:val="006C3AB0"/>
    <w:rsid w:val="006C4FC1"/>
    <w:rsid w:val="006C51A5"/>
    <w:rsid w:val="006C529D"/>
    <w:rsid w:val="006C66BE"/>
    <w:rsid w:val="006C6DF7"/>
    <w:rsid w:val="006D0C12"/>
    <w:rsid w:val="006D0E6B"/>
    <w:rsid w:val="006D2146"/>
    <w:rsid w:val="006D632E"/>
    <w:rsid w:val="006E094A"/>
    <w:rsid w:val="006E12B1"/>
    <w:rsid w:val="006E13D1"/>
    <w:rsid w:val="006E4D0C"/>
    <w:rsid w:val="006E4D1B"/>
    <w:rsid w:val="006E5B78"/>
    <w:rsid w:val="006E6BA3"/>
    <w:rsid w:val="006F1116"/>
    <w:rsid w:val="006F2654"/>
    <w:rsid w:val="006F3196"/>
    <w:rsid w:val="006F34DE"/>
    <w:rsid w:val="006F3C54"/>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1118B"/>
    <w:rsid w:val="0071135D"/>
    <w:rsid w:val="00711C66"/>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A6A"/>
    <w:rsid w:val="00742B44"/>
    <w:rsid w:val="007472D5"/>
    <w:rsid w:val="007519E2"/>
    <w:rsid w:val="00753BB5"/>
    <w:rsid w:val="00756832"/>
    <w:rsid w:val="007626D0"/>
    <w:rsid w:val="007651CA"/>
    <w:rsid w:val="00767519"/>
    <w:rsid w:val="007704E1"/>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1A00"/>
    <w:rsid w:val="00792CEE"/>
    <w:rsid w:val="007962B4"/>
    <w:rsid w:val="00796F15"/>
    <w:rsid w:val="007A138F"/>
    <w:rsid w:val="007A1640"/>
    <w:rsid w:val="007A1AE4"/>
    <w:rsid w:val="007A39DF"/>
    <w:rsid w:val="007A43ED"/>
    <w:rsid w:val="007A4BDD"/>
    <w:rsid w:val="007A6CF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3435"/>
    <w:rsid w:val="007C4B0F"/>
    <w:rsid w:val="007C4DAD"/>
    <w:rsid w:val="007C5830"/>
    <w:rsid w:val="007C5DB8"/>
    <w:rsid w:val="007C6CA2"/>
    <w:rsid w:val="007D05B2"/>
    <w:rsid w:val="007D0C44"/>
    <w:rsid w:val="007D1972"/>
    <w:rsid w:val="007D1F33"/>
    <w:rsid w:val="007D3307"/>
    <w:rsid w:val="007D5E27"/>
    <w:rsid w:val="007D6F64"/>
    <w:rsid w:val="007E25AB"/>
    <w:rsid w:val="007E44FC"/>
    <w:rsid w:val="007E5AC2"/>
    <w:rsid w:val="007E79C5"/>
    <w:rsid w:val="007F2845"/>
    <w:rsid w:val="007F43BC"/>
    <w:rsid w:val="007F4740"/>
    <w:rsid w:val="008006C6"/>
    <w:rsid w:val="00800C52"/>
    <w:rsid w:val="0080153E"/>
    <w:rsid w:val="0080263A"/>
    <w:rsid w:val="0080329D"/>
    <w:rsid w:val="0080742D"/>
    <w:rsid w:val="008100AC"/>
    <w:rsid w:val="0081067F"/>
    <w:rsid w:val="0081151E"/>
    <w:rsid w:val="00812498"/>
    <w:rsid w:val="008127E6"/>
    <w:rsid w:val="0081336E"/>
    <w:rsid w:val="00813928"/>
    <w:rsid w:val="008154EC"/>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59EB"/>
    <w:rsid w:val="00836B7A"/>
    <w:rsid w:val="008409AA"/>
    <w:rsid w:val="00840FB8"/>
    <w:rsid w:val="00843A7A"/>
    <w:rsid w:val="008447F5"/>
    <w:rsid w:val="00846292"/>
    <w:rsid w:val="008506E1"/>
    <w:rsid w:val="008515EE"/>
    <w:rsid w:val="00851A8E"/>
    <w:rsid w:val="008528D3"/>
    <w:rsid w:val="00854553"/>
    <w:rsid w:val="00855B86"/>
    <w:rsid w:val="00860874"/>
    <w:rsid w:val="008609A3"/>
    <w:rsid w:val="00862008"/>
    <w:rsid w:val="00862720"/>
    <w:rsid w:val="008628C8"/>
    <w:rsid w:val="00862B2A"/>
    <w:rsid w:val="008630B9"/>
    <w:rsid w:val="00863F37"/>
    <w:rsid w:val="0086406B"/>
    <w:rsid w:val="00864C8C"/>
    <w:rsid w:val="008659FB"/>
    <w:rsid w:val="00867651"/>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4E11"/>
    <w:rsid w:val="008A6D62"/>
    <w:rsid w:val="008B13E9"/>
    <w:rsid w:val="008B2436"/>
    <w:rsid w:val="008B3B51"/>
    <w:rsid w:val="008B4057"/>
    <w:rsid w:val="008B4145"/>
    <w:rsid w:val="008B5071"/>
    <w:rsid w:val="008B5290"/>
    <w:rsid w:val="008B6A40"/>
    <w:rsid w:val="008C2CFD"/>
    <w:rsid w:val="008C603A"/>
    <w:rsid w:val="008C71C8"/>
    <w:rsid w:val="008D167D"/>
    <w:rsid w:val="008D492A"/>
    <w:rsid w:val="008D4B58"/>
    <w:rsid w:val="008D4B8A"/>
    <w:rsid w:val="008D6541"/>
    <w:rsid w:val="008D7D7B"/>
    <w:rsid w:val="008E0F52"/>
    <w:rsid w:val="008E2316"/>
    <w:rsid w:val="008E34BE"/>
    <w:rsid w:val="008E3AA8"/>
    <w:rsid w:val="008E42CE"/>
    <w:rsid w:val="008E42F4"/>
    <w:rsid w:val="008E4333"/>
    <w:rsid w:val="008E5657"/>
    <w:rsid w:val="008E5E51"/>
    <w:rsid w:val="008F00DB"/>
    <w:rsid w:val="008F1264"/>
    <w:rsid w:val="008F47C6"/>
    <w:rsid w:val="008F505A"/>
    <w:rsid w:val="008F700E"/>
    <w:rsid w:val="009006A2"/>
    <w:rsid w:val="0090102B"/>
    <w:rsid w:val="00901448"/>
    <w:rsid w:val="009036BC"/>
    <w:rsid w:val="00903D30"/>
    <w:rsid w:val="00904414"/>
    <w:rsid w:val="00905C47"/>
    <w:rsid w:val="00906379"/>
    <w:rsid w:val="00906A8C"/>
    <w:rsid w:val="009101EA"/>
    <w:rsid w:val="009106FC"/>
    <w:rsid w:val="009118BB"/>
    <w:rsid w:val="0091191F"/>
    <w:rsid w:val="009120A9"/>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81C"/>
    <w:rsid w:val="0095526F"/>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3ED"/>
    <w:rsid w:val="00976F04"/>
    <w:rsid w:val="009777F4"/>
    <w:rsid w:val="00977AD8"/>
    <w:rsid w:val="00980A10"/>
    <w:rsid w:val="00981130"/>
    <w:rsid w:val="00983D46"/>
    <w:rsid w:val="00983DCA"/>
    <w:rsid w:val="00985EF7"/>
    <w:rsid w:val="00986093"/>
    <w:rsid w:val="00986146"/>
    <w:rsid w:val="00986CF9"/>
    <w:rsid w:val="00987416"/>
    <w:rsid w:val="00990C0E"/>
    <w:rsid w:val="00990D75"/>
    <w:rsid w:val="00991093"/>
    <w:rsid w:val="0099163B"/>
    <w:rsid w:val="00992343"/>
    <w:rsid w:val="00996306"/>
    <w:rsid w:val="00996744"/>
    <w:rsid w:val="00997CF4"/>
    <w:rsid w:val="009A1169"/>
    <w:rsid w:val="009A1AAC"/>
    <w:rsid w:val="009A3789"/>
    <w:rsid w:val="009A45A2"/>
    <w:rsid w:val="009A6919"/>
    <w:rsid w:val="009A6AC7"/>
    <w:rsid w:val="009B0408"/>
    <w:rsid w:val="009B0843"/>
    <w:rsid w:val="009B1335"/>
    <w:rsid w:val="009B176D"/>
    <w:rsid w:val="009B1E47"/>
    <w:rsid w:val="009B2CED"/>
    <w:rsid w:val="009B2E2B"/>
    <w:rsid w:val="009B335D"/>
    <w:rsid w:val="009B3C90"/>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C90"/>
    <w:rsid w:val="009D2348"/>
    <w:rsid w:val="009D2EA8"/>
    <w:rsid w:val="009D2F0C"/>
    <w:rsid w:val="009D3578"/>
    <w:rsid w:val="009D3A5F"/>
    <w:rsid w:val="009D5193"/>
    <w:rsid w:val="009D5C32"/>
    <w:rsid w:val="009D6472"/>
    <w:rsid w:val="009D79F4"/>
    <w:rsid w:val="009E126D"/>
    <w:rsid w:val="009E33D7"/>
    <w:rsid w:val="009E3CD1"/>
    <w:rsid w:val="009E5AF5"/>
    <w:rsid w:val="009E5EB5"/>
    <w:rsid w:val="009E74F0"/>
    <w:rsid w:val="009F0768"/>
    <w:rsid w:val="009F151C"/>
    <w:rsid w:val="009F2A19"/>
    <w:rsid w:val="009F514E"/>
    <w:rsid w:val="009F7867"/>
    <w:rsid w:val="009F7D66"/>
    <w:rsid w:val="00A00BD2"/>
    <w:rsid w:val="00A00E56"/>
    <w:rsid w:val="00A027F3"/>
    <w:rsid w:val="00A0357E"/>
    <w:rsid w:val="00A03978"/>
    <w:rsid w:val="00A03AB1"/>
    <w:rsid w:val="00A04D7E"/>
    <w:rsid w:val="00A051D9"/>
    <w:rsid w:val="00A05DF3"/>
    <w:rsid w:val="00A07E08"/>
    <w:rsid w:val="00A11535"/>
    <w:rsid w:val="00A11E56"/>
    <w:rsid w:val="00A12798"/>
    <w:rsid w:val="00A153BE"/>
    <w:rsid w:val="00A15DEE"/>
    <w:rsid w:val="00A167B5"/>
    <w:rsid w:val="00A16952"/>
    <w:rsid w:val="00A16DBE"/>
    <w:rsid w:val="00A179E0"/>
    <w:rsid w:val="00A17C4F"/>
    <w:rsid w:val="00A20653"/>
    <w:rsid w:val="00A20A39"/>
    <w:rsid w:val="00A238BD"/>
    <w:rsid w:val="00A243E4"/>
    <w:rsid w:val="00A2459D"/>
    <w:rsid w:val="00A24E23"/>
    <w:rsid w:val="00A2566C"/>
    <w:rsid w:val="00A25F05"/>
    <w:rsid w:val="00A30B2D"/>
    <w:rsid w:val="00A311AE"/>
    <w:rsid w:val="00A312A6"/>
    <w:rsid w:val="00A3130E"/>
    <w:rsid w:val="00A3193B"/>
    <w:rsid w:val="00A324CF"/>
    <w:rsid w:val="00A32E8B"/>
    <w:rsid w:val="00A32ED6"/>
    <w:rsid w:val="00A344A5"/>
    <w:rsid w:val="00A346C3"/>
    <w:rsid w:val="00A34D4A"/>
    <w:rsid w:val="00A36155"/>
    <w:rsid w:val="00A42A85"/>
    <w:rsid w:val="00A42D07"/>
    <w:rsid w:val="00A4503E"/>
    <w:rsid w:val="00A450C0"/>
    <w:rsid w:val="00A45468"/>
    <w:rsid w:val="00A4791B"/>
    <w:rsid w:val="00A50A48"/>
    <w:rsid w:val="00A51180"/>
    <w:rsid w:val="00A51242"/>
    <w:rsid w:val="00A51522"/>
    <w:rsid w:val="00A51573"/>
    <w:rsid w:val="00A51A5E"/>
    <w:rsid w:val="00A52895"/>
    <w:rsid w:val="00A53DA0"/>
    <w:rsid w:val="00A5404D"/>
    <w:rsid w:val="00A5765D"/>
    <w:rsid w:val="00A607CB"/>
    <w:rsid w:val="00A6351F"/>
    <w:rsid w:val="00A63809"/>
    <w:rsid w:val="00A64278"/>
    <w:rsid w:val="00A6563D"/>
    <w:rsid w:val="00A65A70"/>
    <w:rsid w:val="00A66F36"/>
    <w:rsid w:val="00A676D9"/>
    <w:rsid w:val="00A67EFC"/>
    <w:rsid w:val="00A7031E"/>
    <w:rsid w:val="00A71140"/>
    <w:rsid w:val="00A74692"/>
    <w:rsid w:val="00A7618B"/>
    <w:rsid w:val="00A7640B"/>
    <w:rsid w:val="00A7778B"/>
    <w:rsid w:val="00A803BC"/>
    <w:rsid w:val="00A80969"/>
    <w:rsid w:val="00A81DD3"/>
    <w:rsid w:val="00A8609D"/>
    <w:rsid w:val="00A86EA7"/>
    <w:rsid w:val="00A91244"/>
    <w:rsid w:val="00A91C7F"/>
    <w:rsid w:val="00A92776"/>
    <w:rsid w:val="00A93181"/>
    <w:rsid w:val="00A938E6"/>
    <w:rsid w:val="00A93CCF"/>
    <w:rsid w:val="00A95BD5"/>
    <w:rsid w:val="00A95C53"/>
    <w:rsid w:val="00A96F78"/>
    <w:rsid w:val="00AA0B9E"/>
    <w:rsid w:val="00AA1087"/>
    <w:rsid w:val="00AA247C"/>
    <w:rsid w:val="00AA25A9"/>
    <w:rsid w:val="00AA26D9"/>
    <w:rsid w:val="00AA4605"/>
    <w:rsid w:val="00AA51AD"/>
    <w:rsid w:val="00AA591E"/>
    <w:rsid w:val="00AA5DF4"/>
    <w:rsid w:val="00AA65C9"/>
    <w:rsid w:val="00AA66CB"/>
    <w:rsid w:val="00AB0A32"/>
    <w:rsid w:val="00AB0E56"/>
    <w:rsid w:val="00AB0ED5"/>
    <w:rsid w:val="00AB3A15"/>
    <w:rsid w:val="00AB4ECC"/>
    <w:rsid w:val="00AB60E2"/>
    <w:rsid w:val="00AB6601"/>
    <w:rsid w:val="00AB674E"/>
    <w:rsid w:val="00AB6D79"/>
    <w:rsid w:val="00AB7806"/>
    <w:rsid w:val="00AC02C1"/>
    <w:rsid w:val="00AC0AB6"/>
    <w:rsid w:val="00AC10AD"/>
    <w:rsid w:val="00AC1E55"/>
    <w:rsid w:val="00AC3D06"/>
    <w:rsid w:val="00AC429F"/>
    <w:rsid w:val="00AC60B4"/>
    <w:rsid w:val="00AC7D98"/>
    <w:rsid w:val="00AD00C5"/>
    <w:rsid w:val="00AD165F"/>
    <w:rsid w:val="00AD2794"/>
    <w:rsid w:val="00AD2DC5"/>
    <w:rsid w:val="00AD3455"/>
    <w:rsid w:val="00AD3CAD"/>
    <w:rsid w:val="00AD69FF"/>
    <w:rsid w:val="00AD702B"/>
    <w:rsid w:val="00AD72E6"/>
    <w:rsid w:val="00AD7C95"/>
    <w:rsid w:val="00AE3DE1"/>
    <w:rsid w:val="00AE4297"/>
    <w:rsid w:val="00AE5439"/>
    <w:rsid w:val="00AE61B2"/>
    <w:rsid w:val="00AE78D1"/>
    <w:rsid w:val="00AF2D54"/>
    <w:rsid w:val="00AF3458"/>
    <w:rsid w:val="00AF3878"/>
    <w:rsid w:val="00AF3F7B"/>
    <w:rsid w:val="00AF42B4"/>
    <w:rsid w:val="00AF4B8A"/>
    <w:rsid w:val="00AF4F1B"/>
    <w:rsid w:val="00AF5EC6"/>
    <w:rsid w:val="00AF6E8A"/>
    <w:rsid w:val="00AF7213"/>
    <w:rsid w:val="00AF7771"/>
    <w:rsid w:val="00AF7D92"/>
    <w:rsid w:val="00B011CC"/>
    <w:rsid w:val="00B04048"/>
    <w:rsid w:val="00B04F3D"/>
    <w:rsid w:val="00B05702"/>
    <w:rsid w:val="00B06DD9"/>
    <w:rsid w:val="00B07935"/>
    <w:rsid w:val="00B07CD6"/>
    <w:rsid w:val="00B07E52"/>
    <w:rsid w:val="00B10010"/>
    <w:rsid w:val="00B11775"/>
    <w:rsid w:val="00B1302D"/>
    <w:rsid w:val="00B1513F"/>
    <w:rsid w:val="00B15B89"/>
    <w:rsid w:val="00B1746F"/>
    <w:rsid w:val="00B20725"/>
    <w:rsid w:val="00B2087E"/>
    <w:rsid w:val="00B20B94"/>
    <w:rsid w:val="00B2628E"/>
    <w:rsid w:val="00B266B0"/>
    <w:rsid w:val="00B27921"/>
    <w:rsid w:val="00B3000E"/>
    <w:rsid w:val="00B326A8"/>
    <w:rsid w:val="00B329EB"/>
    <w:rsid w:val="00B32FCD"/>
    <w:rsid w:val="00B33508"/>
    <w:rsid w:val="00B3377E"/>
    <w:rsid w:val="00B33DB4"/>
    <w:rsid w:val="00B35DA4"/>
    <w:rsid w:val="00B40A96"/>
    <w:rsid w:val="00B4184B"/>
    <w:rsid w:val="00B422A7"/>
    <w:rsid w:val="00B42A32"/>
    <w:rsid w:val="00B42FA6"/>
    <w:rsid w:val="00B4399E"/>
    <w:rsid w:val="00B43A16"/>
    <w:rsid w:val="00B45CE1"/>
    <w:rsid w:val="00B46A75"/>
    <w:rsid w:val="00B500CD"/>
    <w:rsid w:val="00B5239C"/>
    <w:rsid w:val="00B52419"/>
    <w:rsid w:val="00B53893"/>
    <w:rsid w:val="00B547FF"/>
    <w:rsid w:val="00B548C2"/>
    <w:rsid w:val="00B54B6A"/>
    <w:rsid w:val="00B55428"/>
    <w:rsid w:val="00B570BF"/>
    <w:rsid w:val="00B625CC"/>
    <w:rsid w:val="00B63337"/>
    <w:rsid w:val="00B6369F"/>
    <w:rsid w:val="00B639D7"/>
    <w:rsid w:val="00B64AA7"/>
    <w:rsid w:val="00B66594"/>
    <w:rsid w:val="00B67805"/>
    <w:rsid w:val="00B70EBB"/>
    <w:rsid w:val="00B721CD"/>
    <w:rsid w:val="00B7267A"/>
    <w:rsid w:val="00B726FF"/>
    <w:rsid w:val="00B72A5B"/>
    <w:rsid w:val="00B72AA4"/>
    <w:rsid w:val="00B75454"/>
    <w:rsid w:val="00B76BCD"/>
    <w:rsid w:val="00B76EE9"/>
    <w:rsid w:val="00B77880"/>
    <w:rsid w:val="00B807ED"/>
    <w:rsid w:val="00B80D90"/>
    <w:rsid w:val="00B82613"/>
    <w:rsid w:val="00B828B5"/>
    <w:rsid w:val="00B82ED8"/>
    <w:rsid w:val="00B83E1B"/>
    <w:rsid w:val="00B845D0"/>
    <w:rsid w:val="00B84E9C"/>
    <w:rsid w:val="00B85522"/>
    <w:rsid w:val="00B90E2A"/>
    <w:rsid w:val="00B90F2A"/>
    <w:rsid w:val="00B9198D"/>
    <w:rsid w:val="00B92D25"/>
    <w:rsid w:val="00B93008"/>
    <w:rsid w:val="00B9406D"/>
    <w:rsid w:val="00B94BA7"/>
    <w:rsid w:val="00B94E0E"/>
    <w:rsid w:val="00B97CA3"/>
    <w:rsid w:val="00BA2BC9"/>
    <w:rsid w:val="00BA4A54"/>
    <w:rsid w:val="00BA76A9"/>
    <w:rsid w:val="00BB3E2B"/>
    <w:rsid w:val="00BB5D1C"/>
    <w:rsid w:val="00BB6552"/>
    <w:rsid w:val="00BB6B9B"/>
    <w:rsid w:val="00BB754F"/>
    <w:rsid w:val="00BC07D4"/>
    <w:rsid w:val="00BC0A5D"/>
    <w:rsid w:val="00BC0BE3"/>
    <w:rsid w:val="00BC1AD9"/>
    <w:rsid w:val="00BC32E7"/>
    <w:rsid w:val="00BC4F81"/>
    <w:rsid w:val="00BC58B9"/>
    <w:rsid w:val="00BD3056"/>
    <w:rsid w:val="00BD3846"/>
    <w:rsid w:val="00BD3E68"/>
    <w:rsid w:val="00BD598A"/>
    <w:rsid w:val="00BD5C7A"/>
    <w:rsid w:val="00BD71A1"/>
    <w:rsid w:val="00BD75B4"/>
    <w:rsid w:val="00BD7D14"/>
    <w:rsid w:val="00BE02B4"/>
    <w:rsid w:val="00BE3492"/>
    <w:rsid w:val="00BE4EC9"/>
    <w:rsid w:val="00BE631E"/>
    <w:rsid w:val="00BF0CCF"/>
    <w:rsid w:val="00BF0FC5"/>
    <w:rsid w:val="00BF10BC"/>
    <w:rsid w:val="00BF21AC"/>
    <w:rsid w:val="00BF2E53"/>
    <w:rsid w:val="00BF3669"/>
    <w:rsid w:val="00BF3C0D"/>
    <w:rsid w:val="00BF711C"/>
    <w:rsid w:val="00BF748E"/>
    <w:rsid w:val="00BF789B"/>
    <w:rsid w:val="00C03309"/>
    <w:rsid w:val="00C072FE"/>
    <w:rsid w:val="00C11ADE"/>
    <w:rsid w:val="00C12E39"/>
    <w:rsid w:val="00C13D47"/>
    <w:rsid w:val="00C14164"/>
    <w:rsid w:val="00C15D8E"/>
    <w:rsid w:val="00C17012"/>
    <w:rsid w:val="00C178FB"/>
    <w:rsid w:val="00C17DF9"/>
    <w:rsid w:val="00C20ACC"/>
    <w:rsid w:val="00C22B28"/>
    <w:rsid w:val="00C257B7"/>
    <w:rsid w:val="00C272E8"/>
    <w:rsid w:val="00C31FAA"/>
    <w:rsid w:val="00C33359"/>
    <w:rsid w:val="00C348D6"/>
    <w:rsid w:val="00C365E7"/>
    <w:rsid w:val="00C36E34"/>
    <w:rsid w:val="00C404EE"/>
    <w:rsid w:val="00C4171B"/>
    <w:rsid w:val="00C42689"/>
    <w:rsid w:val="00C42988"/>
    <w:rsid w:val="00C42BD4"/>
    <w:rsid w:val="00C43FF0"/>
    <w:rsid w:val="00C44641"/>
    <w:rsid w:val="00C45EF5"/>
    <w:rsid w:val="00C46B7E"/>
    <w:rsid w:val="00C47538"/>
    <w:rsid w:val="00C50A4E"/>
    <w:rsid w:val="00C520B1"/>
    <w:rsid w:val="00C522D6"/>
    <w:rsid w:val="00C52C52"/>
    <w:rsid w:val="00C54020"/>
    <w:rsid w:val="00C5406F"/>
    <w:rsid w:val="00C545C5"/>
    <w:rsid w:val="00C54F35"/>
    <w:rsid w:val="00C55566"/>
    <w:rsid w:val="00C56B16"/>
    <w:rsid w:val="00C57A01"/>
    <w:rsid w:val="00C60B07"/>
    <w:rsid w:val="00C61D4B"/>
    <w:rsid w:val="00C62153"/>
    <w:rsid w:val="00C62B0A"/>
    <w:rsid w:val="00C63C52"/>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2FEE"/>
    <w:rsid w:val="00C84D39"/>
    <w:rsid w:val="00C85277"/>
    <w:rsid w:val="00C85D76"/>
    <w:rsid w:val="00C873AC"/>
    <w:rsid w:val="00C87DA6"/>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761D"/>
    <w:rsid w:val="00CD76B5"/>
    <w:rsid w:val="00CE13B2"/>
    <w:rsid w:val="00CE2346"/>
    <w:rsid w:val="00CE376B"/>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3676"/>
    <w:rsid w:val="00D040B7"/>
    <w:rsid w:val="00D060FF"/>
    <w:rsid w:val="00D064E8"/>
    <w:rsid w:val="00D06546"/>
    <w:rsid w:val="00D06572"/>
    <w:rsid w:val="00D065CD"/>
    <w:rsid w:val="00D11FDE"/>
    <w:rsid w:val="00D12325"/>
    <w:rsid w:val="00D14487"/>
    <w:rsid w:val="00D15E7E"/>
    <w:rsid w:val="00D16FDD"/>
    <w:rsid w:val="00D20016"/>
    <w:rsid w:val="00D207A7"/>
    <w:rsid w:val="00D2279F"/>
    <w:rsid w:val="00D22AF1"/>
    <w:rsid w:val="00D22E93"/>
    <w:rsid w:val="00D242DA"/>
    <w:rsid w:val="00D247EC"/>
    <w:rsid w:val="00D26448"/>
    <w:rsid w:val="00D264CE"/>
    <w:rsid w:val="00D26670"/>
    <w:rsid w:val="00D26910"/>
    <w:rsid w:val="00D27B8B"/>
    <w:rsid w:val="00D30CF0"/>
    <w:rsid w:val="00D31B6E"/>
    <w:rsid w:val="00D3232B"/>
    <w:rsid w:val="00D3239F"/>
    <w:rsid w:val="00D324A4"/>
    <w:rsid w:val="00D3250C"/>
    <w:rsid w:val="00D328F6"/>
    <w:rsid w:val="00D345D4"/>
    <w:rsid w:val="00D3462C"/>
    <w:rsid w:val="00D35198"/>
    <w:rsid w:val="00D3584B"/>
    <w:rsid w:val="00D36964"/>
    <w:rsid w:val="00D4081B"/>
    <w:rsid w:val="00D413C3"/>
    <w:rsid w:val="00D42240"/>
    <w:rsid w:val="00D427C3"/>
    <w:rsid w:val="00D42EB8"/>
    <w:rsid w:val="00D43D3C"/>
    <w:rsid w:val="00D44932"/>
    <w:rsid w:val="00D46111"/>
    <w:rsid w:val="00D47C16"/>
    <w:rsid w:val="00D502AF"/>
    <w:rsid w:val="00D50764"/>
    <w:rsid w:val="00D50C12"/>
    <w:rsid w:val="00D514A9"/>
    <w:rsid w:val="00D51A77"/>
    <w:rsid w:val="00D5267B"/>
    <w:rsid w:val="00D53649"/>
    <w:rsid w:val="00D53830"/>
    <w:rsid w:val="00D54FB3"/>
    <w:rsid w:val="00D55889"/>
    <w:rsid w:val="00D56B5F"/>
    <w:rsid w:val="00D57A3F"/>
    <w:rsid w:val="00D57AF0"/>
    <w:rsid w:val="00D61815"/>
    <w:rsid w:val="00D62ECD"/>
    <w:rsid w:val="00D64426"/>
    <w:rsid w:val="00D65D78"/>
    <w:rsid w:val="00D67BC5"/>
    <w:rsid w:val="00D7021B"/>
    <w:rsid w:val="00D70D33"/>
    <w:rsid w:val="00D71E7F"/>
    <w:rsid w:val="00D73077"/>
    <w:rsid w:val="00D736A2"/>
    <w:rsid w:val="00D73C57"/>
    <w:rsid w:val="00D742FF"/>
    <w:rsid w:val="00D758B3"/>
    <w:rsid w:val="00D76ADC"/>
    <w:rsid w:val="00D77413"/>
    <w:rsid w:val="00D81F10"/>
    <w:rsid w:val="00D82798"/>
    <w:rsid w:val="00D82BF2"/>
    <w:rsid w:val="00D84A57"/>
    <w:rsid w:val="00D874DF"/>
    <w:rsid w:val="00D87A12"/>
    <w:rsid w:val="00D9062A"/>
    <w:rsid w:val="00D930E1"/>
    <w:rsid w:val="00D9415C"/>
    <w:rsid w:val="00D942CC"/>
    <w:rsid w:val="00D94D87"/>
    <w:rsid w:val="00D95B31"/>
    <w:rsid w:val="00D95DCC"/>
    <w:rsid w:val="00D962DC"/>
    <w:rsid w:val="00DA180C"/>
    <w:rsid w:val="00DA3E7B"/>
    <w:rsid w:val="00DA3F17"/>
    <w:rsid w:val="00DA418E"/>
    <w:rsid w:val="00DA451D"/>
    <w:rsid w:val="00DA4B72"/>
    <w:rsid w:val="00DA56DB"/>
    <w:rsid w:val="00DA6452"/>
    <w:rsid w:val="00DA6FE9"/>
    <w:rsid w:val="00DA7925"/>
    <w:rsid w:val="00DB031E"/>
    <w:rsid w:val="00DB040B"/>
    <w:rsid w:val="00DB0AB8"/>
    <w:rsid w:val="00DB0D2A"/>
    <w:rsid w:val="00DB11CD"/>
    <w:rsid w:val="00DB1DAB"/>
    <w:rsid w:val="00DB39D4"/>
    <w:rsid w:val="00DB3A47"/>
    <w:rsid w:val="00DB4E06"/>
    <w:rsid w:val="00DB6A80"/>
    <w:rsid w:val="00DB6C06"/>
    <w:rsid w:val="00DB7B06"/>
    <w:rsid w:val="00DC318A"/>
    <w:rsid w:val="00DC3A9D"/>
    <w:rsid w:val="00DC6C1E"/>
    <w:rsid w:val="00DC7951"/>
    <w:rsid w:val="00DD1C4B"/>
    <w:rsid w:val="00DD1F7B"/>
    <w:rsid w:val="00DD229E"/>
    <w:rsid w:val="00DD3029"/>
    <w:rsid w:val="00DD55E0"/>
    <w:rsid w:val="00DD7602"/>
    <w:rsid w:val="00DE18A3"/>
    <w:rsid w:val="00DE1904"/>
    <w:rsid w:val="00DE1DAA"/>
    <w:rsid w:val="00DE3DBB"/>
    <w:rsid w:val="00DE43A2"/>
    <w:rsid w:val="00DE4A74"/>
    <w:rsid w:val="00DE4B05"/>
    <w:rsid w:val="00DE541C"/>
    <w:rsid w:val="00DE737B"/>
    <w:rsid w:val="00DF100B"/>
    <w:rsid w:val="00DF174C"/>
    <w:rsid w:val="00DF4359"/>
    <w:rsid w:val="00DF73C1"/>
    <w:rsid w:val="00DF7751"/>
    <w:rsid w:val="00E009B1"/>
    <w:rsid w:val="00E031BB"/>
    <w:rsid w:val="00E0576C"/>
    <w:rsid w:val="00E068BC"/>
    <w:rsid w:val="00E073F0"/>
    <w:rsid w:val="00E10761"/>
    <w:rsid w:val="00E11D7A"/>
    <w:rsid w:val="00E11EEB"/>
    <w:rsid w:val="00E128F2"/>
    <w:rsid w:val="00E13EE4"/>
    <w:rsid w:val="00E16463"/>
    <w:rsid w:val="00E20B20"/>
    <w:rsid w:val="00E239D1"/>
    <w:rsid w:val="00E246B9"/>
    <w:rsid w:val="00E26727"/>
    <w:rsid w:val="00E26970"/>
    <w:rsid w:val="00E27791"/>
    <w:rsid w:val="00E30F2D"/>
    <w:rsid w:val="00E319DB"/>
    <w:rsid w:val="00E31AFC"/>
    <w:rsid w:val="00E3250F"/>
    <w:rsid w:val="00E3409E"/>
    <w:rsid w:val="00E34F76"/>
    <w:rsid w:val="00E37BE5"/>
    <w:rsid w:val="00E41A27"/>
    <w:rsid w:val="00E41AB4"/>
    <w:rsid w:val="00E45C77"/>
    <w:rsid w:val="00E4608B"/>
    <w:rsid w:val="00E46D7F"/>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85B0A"/>
    <w:rsid w:val="00E907E4"/>
    <w:rsid w:val="00E90A24"/>
    <w:rsid w:val="00E90C34"/>
    <w:rsid w:val="00E919AC"/>
    <w:rsid w:val="00E93499"/>
    <w:rsid w:val="00E946A6"/>
    <w:rsid w:val="00E947E4"/>
    <w:rsid w:val="00E9480A"/>
    <w:rsid w:val="00E96A29"/>
    <w:rsid w:val="00E96B28"/>
    <w:rsid w:val="00E96FE6"/>
    <w:rsid w:val="00EA1D43"/>
    <w:rsid w:val="00EA4EC9"/>
    <w:rsid w:val="00EA568E"/>
    <w:rsid w:val="00EA5E0F"/>
    <w:rsid w:val="00EA6FE4"/>
    <w:rsid w:val="00EA798D"/>
    <w:rsid w:val="00EA7F4C"/>
    <w:rsid w:val="00EB1D47"/>
    <w:rsid w:val="00EB2146"/>
    <w:rsid w:val="00EB2317"/>
    <w:rsid w:val="00EB279B"/>
    <w:rsid w:val="00EB2ABB"/>
    <w:rsid w:val="00EB2B18"/>
    <w:rsid w:val="00EB584C"/>
    <w:rsid w:val="00EB5863"/>
    <w:rsid w:val="00EB5D88"/>
    <w:rsid w:val="00EB7307"/>
    <w:rsid w:val="00EB772D"/>
    <w:rsid w:val="00EC082C"/>
    <w:rsid w:val="00EC14B0"/>
    <w:rsid w:val="00EC204E"/>
    <w:rsid w:val="00EC249E"/>
    <w:rsid w:val="00EC2CFF"/>
    <w:rsid w:val="00EC2DFB"/>
    <w:rsid w:val="00EC5F2F"/>
    <w:rsid w:val="00EC651E"/>
    <w:rsid w:val="00EC692E"/>
    <w:rsid w:val="00EC745E"/>
    <w:rsid w:val="00EC7EAF"/>
    <w:rsid w:val="00ED22AE"/>
    <w:rsid w:val="00ED27C3"/>
    <w:rsid w:val="00ED33AE"/>
    <w:rsid w:val="00ED3775"/>
    <w:rsid w:val="00ED4A6D"/>
    <w:rsid w:val="00ED58A7"/>
    <w:rsid w:val="00ED6D4A"/>
    <w:rsid w:val="00ED738C"/>
    <w:rsid w:val="00ED7918"/>
    <w:rsid w:val="00ED7FD3"/>
    <w:rsid w:val="00EE2A61"/>
    <w:rsid w:val="00EE3663"/>
    <w:rsid w:val="00EE41C4"/>
    <w:rsid w:val="00EE5A27"/>
    <w:rsid w:val="00EE6E77"/>
    <w:rsid w:val="00EE76A9"/>
    <w:rsid w:val="00EE799E"/>
    <w:rsid w:val="00EE7CA8"/>
    <w:rsid w:val="00EE7FA7"/>
    <w:rsid w:val="00EF1093"/>
    <w:rsid w:val="00EF1FCB"/>
    <w:rsid w:val="00EF21C3"/>
    <w:rsid w:val="00EF2E6B"/>
    <w:rsid w:val="00EF72F9"/>
    <w:rsid w:val="00F0030E"/>
    <w:rsid w:val="00F00CD1"/>
    <w:rsid w:val="00F01E6B"/>
    <w:rsid w:val="00F0241C"/>
    <w:rsid w:val="00F0270B"/>
    <w:rsid w:val="00F031EE"/>
    <w:rsid w:val="00F05759"/>
    <w:rsid w:val="00F064EC"/>
    <w:rsid w:val="00F10CB9"/>
    <w:rsid w:val="00F110D5"/>
    <w:rsid w:val="00F12351"/>
    <w:rsid w:val="00F15193"/>
    <w:rsid w:val="00F16739"/>
    <w:rsid w:val="00F16DE2"/>
    <w:rsid w:val="00F2052B"/>
    <w:rsid w:val="00F2260F"/>
    <w:rsid w:val="00F242AD"/>
    <w:rsid w:val="00F247F2"/>
    <w:rsid w:val="00F2518F"/>
    <w:rsid w:val="00F252A8"/>
    <w:rsid w:val="00F265F7"/>
    <w:rsid w:val="00F27FA6"/>
    <w:rsid w:val="00F33DC8"/>
    <w:rsid w:val="00F34444"/>
    <w:rsid w:val="00F403DB"/>
    <w:rsid w:val="00F4065A"/>
    <w:rsid w:val="00F4275C"/>
    <w:rsid w:val="00F45693"/>
    <w:rsid w:val="00F52339"/>
    <w:rsid w:val="00F5277A"/>
    <w:rsid w:val="00F532E8"/>
    <w:rsid w:val="00F537FF"/>
    <w:rsid w:val="00F54E36"/>
    <w:rsid w:val="00F560FE"/>
    <w:rsid w:val="00F6111C"/>
    <w:rsid w:val="00F614C0"/>
    <w:rsid w:val="00F61647"/>
    <w:rsid w:val="00F657CF"/>
    <w:rsid w:val="00F66A00"/>
    <w:rsid w:val="00F66CFB"/>
    <w:rsid w:val="00F713A3"/>
    <w:rsid w:val="00F71A8F"/>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31E7"/>
    <w:rsid w:val="00FA413A"/>
    <w:rsid w:val="00FA4144"/>
    <w:rsid w:val="00FA4DDF"/>
    <w:rsid w:val="00FA645E"/>
    <w:rsid w:val="00FA6E7F"/>
    <w:rsid w:val="00FA7114"/>
    <w:rsid w:val="00FB2379"/>
    <w:rsid w:val="00FB4B8A"/>
    <w:rsid w:val="00FB5152"/>
    <w:rsid w:val="00FB680E"/>
    <w:rsid w:val="00FB7A0B"/>
    <w:rsid w:val="00FC0065"/>
    <w:rsid w:val="00FC062F"/>
    <w:rsid w:val="00FC3AEE"/>
    <w:rsid w:val="00FC6238"/>
    <w:rsid w:val="00FC7951"/>
    <w:rsid w:val="00FD2785"/>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421"/>
    <w:rsid w:val="00FE5624"/>
    <w:rsid w:val="00FE5D2C"/>
    <w:rsid w:val="00FE5FBF"/>
    <w:rsid w:val="00FE6C25"/>
    <w:rsid w:val="00FF033A"/>
    <w:rsid w:val="00FF0964"/>
    <w:rsid w:val="00FF16F2"/>
    <w:rsid w:val="00FF2B42"/>
    <w:rsid w:val="00FF2D5B"/>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D82798"/>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321768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SP-5AIRPNAIUNRU-1830940522-1607</_dlc_DocId>
    <_dlc_DocIdUrl xmlns="71c5aaf6-e6ce-465b-b873-5148d2a4c105">
      <Url>https://nokia.sharepoint.com/sites/c5g/5gradio/_layouts/15/DocIdRedir.aspx?ID=SP-5AIRPNAIUNRU-1830940522-1607</Url>
      <Description>SP-5AIRPNAIUNRU-1830940522-1607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infopath/2007/PartnerControls"/>
    <ds:schemaRef ds:uri="http://purl.org/dc/elements/1.1/"/>
    <ds:schemaRef ds:uri="ebabf6ce-2443-438c-9946-ecc878e7654a"/>
    <ds:schemaRef ds:uri="http://schemas.microsoft.com/office/2006/metadata/properties"/>
    <ds:schemaRef ds:uri="http://purl.org/dc/dcmitype/"/>
    <ds:schemaRef ds:uri="3b34c8f0-1ef5-4d1e-bb66-517ce7fe7356"/>
    <ds:schemaRef ds:uri="http://schemas.microsoft.com/office/2006/documentManagement/types"/>
    <ds:schemaRef ds:uri="http://purl.org/dc/terms/"/>
    <ds:schemaRef ds:uri="http://www.w3.org/XML/1998/namespace"/>
    <ds:schemaRef ds:uri="http://schemas.openxmlformats.org/package/2006/metadata/core-properties"/>
    <ds:schemaRef ds:uri="95d2e41d-1f11-4347-bb1c-11d6a32975dd"/>
    <ds:schemaRef ds:uri="71c5aaf6-e6ce-465b-b873-5148d2a4c105"/>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6B917CC4-6CBC-4233-9E39-5E49C5C04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309F47-E3DF-41F5-8389-759F8A5D7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1188</Words>
  <Characters>6777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2</cp:revision>
  <cp:lastPrinted>2016-06-20T11:35:00Z</cp:lastPrinted>
  <dcterms:created xsi:type="dcterms:W3CDTF">2017-08-11T20:38:00Z</dcterms:created>
  <dcterms:modified xsi:type="dcterms:W3CDTF">2017-08-11T20:38:00Z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bd64da64-99c8-4156-9d8d-2d9bfa9a7cca</vt:lpwstr>
  </property>
</Properties>
</file>